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3254E1" w14:textId="77777777" w:rsidR="00020AE8" w:rsidRDefault="00000000">
      <w:pPr>
        <w:pBdr>
          <w:top w:val="nil"/>
          <w:left w:val="nil"/>
          <w:bottom w:val="nil"/>
          <w:right w:val="nil"/>
          <w:between w:val="nil"/>
        </w:pBdr>
        <w:jc w:val="center"/>
        <w:rPr>
          <w:b/>
          <w:bCs/>
          <w:color w:val="222222"/>
        </w:rPr>
      </w:pPr>
      <w:r>
        <w:rPr>
          <w:b/>
          <w:bCs/>
          <w:color w:val="222222"/>
        </w:rPr>
        <w:t>Relación entre desregulación emocional y Violencia Filio-Parental en niños y adolescentes: una revisión sistemática</w:t>
      </w:r>
    </w:p>
    <w:p w14:paraId="1DEF259D" w14:textId="77777777" w:rsidR="00020AE8" w:rsidRDefault="00020AE8">
      <w:pPr>
        <w:pBdr>
          <w:top w:val="nil"/>
          <w:left w:val="nil"/>
          <w:bottom w:val="nil"/>
          <w:right w:val="nil"/>
          <w:between w:val="nil"/>
        </w:pBdr>
        <w:jc w:val="center"/>
        <w:rPr>
          <w:b/>
          <w:bCs/>
          <w:color w:val="222222"/>
        </w:rPr>
      </w:pPr>
    </w:p>
    <w:p w14:paraId="7A82C4C2" w14:textId="77777777" w:rsidR="00020AE8" w:rsidRDefault="00000000">
      <w:pPr>
        <w:pBdr>
          <w:top w:val="nil"/>
          <w:left w:val="nil"/>
          <w:bottom w:val="nil"/>
          <w:right w:val="nil"/>
          <w:between w:val="nil"/>
        </w:pBdr>
        <w:jc w:val="center"/>
        <w:rPr>
          <w:b/>
          <w:bCs/>
          <w:color w:val="222222"/>
        </w:rPr>
      </w:pPr>
      <w:r>
        <w:rPr>
          <w:b/>
          <w:bCs/>
          <w:color w:val="222222"/>
        </w:rPr>
        <w:t>Relationship between emotional dysregulation and parent-to-child violence in children and adolescents: a systematic review</w:t>
      </w:r>
    </w:p>
    <w:p w14:paraId="05C346AF" w14:textId="77777777" w:rsidR="00020AE8" w:rsidRDefault="00020AE8">
      <w:pPr>
        <w:pBdr>
          <w:top w:val="nil"/>
          <w:left w:val="nil"/>
          <w:bottom w:val="nil"/>
          <w:right w:val="nil"/>
          <w:between w:val="nil"/>
        </w:pBdr>
        <w:jc w:val="center"/>
        <w:rPr>
          <w:b/>
          <w:bCs/>
          <w:color w:val="222222"/>
        </w:rPr>
      </w:pPr>
    </w:p>
    <w:p w14:paraId="2F7B52F6" w14:textId="77777777" w:rsidR="00020AE8" w:rsidRDefault="00000000">
      <w:pPr>
        <w:pBdr>
          <w:top w:val="nil"/>
          <w:left w:val="nil"/>
          <w:bottom w:val="nil"/>
          <w:right w:val="nil"/>
          <w:between w:val="nil"/>
        </w:pBdr>
        <w:jc w:val="center"/>
        <w:rPr>
          <w:b/>
          <w:bCs/>
          <w:color w:val="222222"/>
        </w:rPr>
      </w:pPr>
      <w:r>
        <w:rPr>
          <w:b/>
          <w:bCs/>
          <w:color w:val="222222"/>
        </w:rPr>
        <w:t xml:space="preserve">Relação entre desregulação emocional e Violência Filio-Parental em crianças e adolescentes: uma revisão sistemática </w:t>
      </w:r>
    </w:p>
    <w:p w14:paraId="292A615D" w14:textId="77777777" w:rsidR="00020AE8" w:rsidRDefault="00020AE8">
      <w:pPr>
        <w:jc w:val="center"/>
        <w:rPr>
          <w:color w:val="222222"/>
        </w:rPr>
      </w:pPr>
    </w:p>
    <w:p w14:paraId="59E5F6E3" w14:textId="77777777" w:rsidR="00020AE8" w:rsidRDefault="00000000">
      <w:pPr>
        <w:jc w:val="right"/>
        <w:rPr>
          <w:color w:val="222222"/>
        </w:rPr>
      </w:pPr>
      <w:r>
        <w:rPr>
          <w:color w:val="222222"/>
          <w:highlight w:val="white"/>
        </w:rPr>
        <w:t>Analia Veronica Losada</w:t>
      </w:r>
    </w:p>
    <w:p w14:paraId="663D54F4" w14:textId="77777777" w:rsidR="00020AE8" w:rsidRDefault="00000000">
      <w:pPr>
        <w:jc w:val="right"/>
        <w:rPr>
          <w:color w:val="222222"/>
        </w:rPr>
      </w:pPr>
      <w:r>
        <w:rPr>
          <w:color w:val="222222"/>
          <w:highlight w:val="white"/>
        </w:rPr>
        <w:t>Universidad de Flores</w:t>
      </w:r>
    </w:p>
    <w:p w14:paraId="59F10375" w14:textId="77777777" w:rsidR="00020AE8" w:rsidRDefault="00000000">
      <w:pPr>
        <w:jc w:val="right"/>
        <w:rPr>
          <w:color w:val="222222"/>
        </w:rPr>
      </w:pPr>
      <w:hyperlink r:id="rId5">
        <w:r>
          <w:rPr>
            <w:color w:val="222222"/>
            <w:highlight w:val="white"/>
            <w:u w:val="single"/>
          </w:rPr>
          <w:t>https://orcid.org/0000-0003-0488-4651</w:t>
        </w:r>
      </w:hyperlink>
      <w:r>
        <w:rPr>
          <w:color w:val="222222"/>
          <w:highlight w:val="white"/>
        </w:rPr>
        <w:t> </w:t>
      </w:r>
    </w:p>
    <w:p w14:paraId="0E1E9226" w14:textId="77777777" w:rsidR="00020AE8" w:rsidRDefault="00020AE8">
      <w:pPr>
        <w:jc w:val="right"/>
        <w:rPr>
          <w:color w:val="222222"/>
          <w:highlight w:val="white"/>
        </w:rPr>
      </w:pPr>
    </w:p>
    <w:p w14:paraId="45D96BD5" w14:textId="77777777" w:rsidR="00020AE8" w:rsidRDefault="00000000">
      <w:pPr>
        <w:jc w:val="right"/>
        <w:rPr>
          <w:color w:val="222222"/>
        </w:rPr>
      </w:pPr>
      <w:r>
        <w:rPr>
          <w:color w:val="222222"/>
          <w:highlight w:val="white"/>
        </w:rPr>
        <w:t>Alejandra González Monzón</w:t>
      </w:r>
    </w:p>
    <w:p w14:paraId="410AB4C7" w14:textId="77777777" w:rsidR="00020AE8" w:rsidRDefault="00000000">
      <w:pPr>
        <w:jc w:val="right"/>
        <w:rPr>
          <w:color w:val="222222"/>
        </w:rPr>
      </w:pPr>
      <w:r>
        <w:rPr>
          <w:color w:val="222222"/>
          <w:highlight w:val="white"/>
        </w:rPr>
        <w:t>Universidad de Flores</w:t>
      </w:r>
    </w:p>
    <w:p w14:paraId="52C60D6F" w14:textId="77777777" w:rsidR="00020AE8" w:rsidRDefault="00000000">
      <w:pPr>
        <w:jc w:val="right"/>
        <w:rPr>
          <w:color w:val="222222"/>
        </w:rPr>
      </w:pPr>
      <w:hyperlink r:id="rId6">
        <w:r>
          <w:rPr>
            <w:color w:val="222222"/>
            <w:highlight w:val="white"/>
            <w:u w:val="single"/>
          </w:rPr>
          <w:t>https://orcid.org/0009-0008-9115-1272</w:t>
        </w:r>
      </w:hyperlink>
    </w:p>
    <w:p w14:paraId="12FE3EAF" w14:textId="77777777" w:rsidR="00020AE8" w:rsidRDefault="00020AE8">
      <w:pPr>
        <w:jc w:val="center"/>
        <w:rPr>
          <w:rFonts w:ascii="Century Schoolbook" w:eastAsia="Century Schoolbook" w:hAnsi="Century Schoolbook" w:cs="Century Schoolbook"/>
          <w:color w:val="222222"/>
          <w:sz w:val="20"/>
          <w:szCs w:val="20"/>
        </w:rPr>
      </w:pPr>
    </w:p>
    <w:p w14:paraId="3EB76D81" w14:textId="77777777" w:rsidR="00020AE8" w:rsidRDefault="00000000">
      <w:pPr>
        <w:jc w:val="right"/>
        <w:rPr>
          <w:color w:val="222222"/>
          <w:highlight w:val="white"/>
        </w:rPr>
      </w:pPr>
      <w:r>
        <w:rPr>
          <w:color w:val="222222"/>
          <w:highlight w:val="white"/>
        </w:rPr>
        <w:t>Nicolás Genise</w:t>
      </w:r>
    </w:p>
    <w:p w14:paraId="1DF0D4F8" w14:textId="77777777" w:rsidR="00020AE8" w:rsidRDefault="00000000">
      <w:pPr>
        <w:jc w:val="right"/>
        <w:rPr>
          <w:color w:val="222222"/>
          <w:highlight w:val="white"/>
          <w:u w:val="single"/>
        </w:rPr>
      </w:pPr>
      <w:r>
        <w:rPr>
          <w:color w:val="222222"/>
          <w:highlight w:val="white"/>
        </w:rPr>
        <w:t>Universidad de Flores</w:t>
      </w:r>
    </w:p>
    <w:p w14:paraId="3B26DF2C" w14:textId="77777777" w:rsidR="00020AE8" w:rsidRDefault="00000000">
      <w:pPr>
        <w:pBdr>
          <w:top w:val="nil"/>
          <w:left w:val="nil"/>
          <w:bottom w:val="nil"/>
          <w:right w:val="nil"/>
          <w:between w:val="nil"/>
        </w:pBdr>
        <w:jc w:val="right"/>
        <w:rPr>
          <w:color w:val="222222"/>
          <w:highlight w:val="white"/>
          <w:u w:val="single"/>
        </w:rPr>
      </w:pPr>
      <w:hyperlink r:id="rId7">
        <w:r>
          <w:rPr>
            <w:color w:val="222222"/>
            <w:highlight w:val="white"/>
            <w:u w:val="single"/>
          </w:rPr>
          <w:t>https://orcid.org/</w:t>
        </w:r>
      </w:hyperlink>
      <w:r>
        <w:rPr>
          <w:color w:val="222222"/>
          <w:highlight w:val="white"/>
          <w:u w:val="single"/>
        </w:rPr>
        <w:t>0009-0009-4092-974X</w:t>
      </w:r>
    </w:p>
    <w:p w14:paraId="5D4C73D9" w14:textId="77777777" w:rsidR="00020AE8" w:rsidRDefault="00020AE8">
      <w:pPr>
        <w:jc w:val="right"/>
        <w:rPr>
          <w:color w:val="222222"/>
          <w:highlight w:val="white"/>
        </w:rPr>
      </w:pPr>
    </w:p>
    <w:p w14:paraId="59053601" w14:textId="77777777" w:rsidR="00020AE8" w:rsidRDefault="00020AE8">
      <w:pPr>
        <w:rPr>
          <w:b/>
          <w:bCs/>
          <w:color w:val="222222"/>
        </w:rPr>
      </w:pPr>
    </w:p>
    <w:p w14:paraId="37F5ACF7" w14:textId="77777777" w:rsidR="00020AE8" w:rsidRDefault="00000000">
      <w:pPr>
        <w:spacing w:line="360" w:lineRule="auto"/>
        <w:rPr>
          <w:b/>
          <w:bCs/>
          <w:color w:val="222222"/>
        </w:rPr>
      </w:pPr>
      <w:r>
        <w:rPr>
          <w:b/>
          <w:bCs/>
          <w:color w:val="222222"/>
        </w:rPr>
        <w:t>RESUMEN</w:t>
      </w:r>
    </w:p>
    <w:p w14:paraId="66F94915" w14:textId="29EC8EC5" w:rsidR="00020AE8" w:rsidRDefault="00000000">
      <w:pPr>
        <w:pBdr>
          <w:top w:val="nil"/>
          <w:left w:val="nil"/>
          <w:bottom w:val="nil"/>
          <w:right w:val="nil"/>
          <w:between w:val="nil"/>
        </w:pBdr>
        <w:spacing w:line="360" w:lineRule="auto"/>
        <w:jc w:val="both"/>
        <w:rPr>
          <w:color w:val="222222"/>
        </w:rPr>
      </w:pPr>
      <w:r>
        <w:rPr>
          <w:color w:val="222222"/>
        </w:rPr>
        <w:t>La Violencia Filio-Parental (VFP) constituye un fenómeno multifactorial que afecta aproximadamente al 10% de los adolescentes y está influido por factores individuales, familiares y contextuales. La presente revisión sistemática tuvo como objetivo analizar la relación entre la desregulación emocional y la VFP, siguiendo las directrices PRISMA 2020. Se realizó la búsqueda en las bases de datos Scopus, PubMed, SciELO, Dialnet y Redalyc, considerando estudios publicados entre 2016 y 2026 en español, inglés y portugués. Se incluyeron 18 estudios seleccionados mediante tres etapas de cribado que incluyeron título, resumen y texto completo realizadas con doble revisión ciega independiente, utilizando la plataforma Rayyan para la gestión sistemática del proceso. Los resultados muestran que la desregulación emocional actúa como factor de riesgo relevante, asociado a impulsividad, irritabilidad y baja tolerancia a la frustración, contribuyendo a la conducta agresiva tanto de forma directa como indirecta. No obstante, no constituye una causa única, sino que interactúa con variables como estilos parentales, conflictos familiares, exposición a violencia y trastornos psicológicos. Se concluye que la desregulación emocional es un elemento significativo pero no determinante, por lo que la VFP debe abordarse desde un enfoque multidimensional. La evidencia disponible está limitada por el predominio de diseños transversales y la heterogeneidad metodológica de los estudios, lo que dificulta establecer causalidad y generalizar los resultados</w:t>
      </w:r>
      <w:r w:rsidR="006D3324">
        <w:rPr>
          <w:color w:val="222222"/>
        </w:rPr>
        <w:t xml:space="preserve">. </w:t>
      </w:r>
    </w:p>
    <w:p w14:paraId="0475A42B" w14:textId="77777777" w:rsidR="00020AE8" w:rsidRDefault="00020AE8">
      <w:pPr>
        <w:pBdr>
          <w:top w:val="nil"/>
          <w:left w:val="nil"/>
          <w:bottom w:val="nil"/>
          <w:right w:val="nil"/>
          <w:between w:val="nil"/>
        </w:pBdr>
        <w:spacing w:line="360" w:lineRule="auto"/>
        <w:jc w:val="both"/>
        <w:rPr>
          <w:color w:val="222222"/>
        </w:rPr>
      </w:pPr>
    </w:p>
    <w:p w14:paraId="3027AA90" w14:textId="26A2C95D" w:rsidR="00020AE8" w:rsidRDefault="00000000">
      <w:pPr>
        <w:pBdr>
          <w:top w:val="nil"/>
          <w:left w:val="nil"/>
          <w:bottom w:val="nil"/>
          <w:right w:val="nil"/>
          <w:between w:val="nil"/>
        </w:pBdr>
        <w:spacing w:line="360" w:lineRule="auto"/>
        <w:jc w:val="both"/>
        <w:rPr>
          <w:b/>
          <w:bCs/>
          <w:color w:val="222222"/>
        </w:rPr>
      </w:pPr>
      <w:r>
        <w:rPr>
          <w:color w:val="222222"/>
        </w:rPr>
        <w:t>Palabras clave: desregulación emocional; violencia filio-parental; factores asociados; transdiagnóstico; adolescencia</w:t>
      </w:r>
      <w:r w:rsidR="006D3324">
        <w:rPr>
          <w:color w:val="222222"/>
        </w:rPr>
        <w:t xml:space="preserve">. </w:t>
      </w:r>
    </w:p>
    <w:p w14:paraId="7CC71ED7" w14:textId="77777777" w:rsidR="00020AE8" w:rsidRDefault="00020AE8">
      <w:pPr>
        <w:spacing w:line="360" w:lineRule="auto"/>
        <w:jc w:val="center"/>
        <w:rPr>
          <w:b/>
          <w:bCs/>
          <w:color w:val="222222"/>
        </w:rPr>
      </w:pPr>
    </w:p>
    <w:p w14:paraId="7DF717B6" w14:textId="77777777" w:rsidR="00020AE8" w:rsidRDefault="00000000">
      <w:pPr>
        <w:spacing w:line="360" w:lineRule="auto"/>
        <w:rPr>
          <w:b/>
          <w:bCs/>
          <w:color w:val="222222"/>
        </w:rPr>
      </w:pPr>
      <w:r>
        <w:rPr>
          <w:b/>
          <w:bCs/>
          <w:color w:val="222222"/>
        </w:rPr>
        <w:t>ABSTRACT</w:t>
      </w:r>
    </w:p>
    <w:p w14:paraId="0B5599D5" w14:textId="77777777" w:rsidR="00020AE8" w:rsidRDefault="00000000">
      <w:pPr>
        <w:pBdr>
          <w:top w:val="nil"/>
          <w:left w:val="nil"/>
          <w:bottom w:val="nil"/>
          <w:right w:val="nil"/>
          <w:between w:val="nil"/>
        </w:pBdr>
        <w:spacing w:line="360" w:lineRule="auto"/>
        <w:jc w:val="both"/>
        <w:rPr>
          <w:color w:val="222222"/>
        </w:rPr>
      </w:pPr>
      <w:r>
        <w:rPr>
          <w:color w:val="222222"/>
        </w:rPr>
        <w:t>Child-to-Parent Violence (CPV) is a multifactorial phenomenon that affects approximately 10% of adolescents and is influenced by individual, family, and contextual factors. The present systematic review aimed to analyze the relationship between emotional dysregulation and CPV, following the PRISMA 2020 guidelines. A systematic search was conducted in the Scopus, PubMed, SciELO, Dialnet, and Redalyc databases, considering studies published between 2016 and 2026 in Spanish, English, and Portuguese. Eighteen studies were included after a three-stage screening process involving title, abstract, and full-text review, carried out through independent double-blind assessment using the Rayyan platform for systematic management of the process. The results indicate that emotional dysregulation acts as a relevant risk factor, being associated with impulsivity, irritability, and low frustration tolerance, thereby contributing to aggressive behavior both directly and indirectly. However, it does not constitute a single causal factor; rather, it interacts with variables such as parenting styles, family conflict, exposure to violence, and psychological disorders. It is concluded that emotional dysregulation is a significant but non-deterministic factor, and therefore CPV should be addressed from a multidimensional perspective. The available evidence is limited by the predominance of cross-sectional designs and the methodological heterogeneity of the studies, which hinders the establishment of causal relationships and the generalization of findings.</w:t>
      </w:r>
    </w:p>
    <w:p w14:paraId="6DFB2577" w14:textId="77777777" w:rsidR="00020AE8" w:rsidRDefault="00020AE8">
      <w:pPr>
        <w:pBdr>
          <w:top w:val="nil"/>
          <w:left w:val="nil"/>
          <w:bottom w:val="nil"/>
          <w:right w:val="nil"/>
          <w:between w:val="nil"/>
        </w:pBdr>
        <w:spacing w:line="360" w:lineRule="auto"/>
        <w:ind w:firstLine="720"/>
        <w:jc w:val="both"/>
        <w:rPr>
          <w:color w:val="222222"/>
        </w:rPr>
      </w:pPr>
    </w:p>
    <w:p w14:paraId="56D9430F" w14:textId="77777777" w:rsidR="00020AE8" w:rsidRDefault="00000000">
      <w:pPr>
        <w:pBdr>
          <w:top w:val="nil"/>
          <w:left w:val="nil"/>
          <w:bottom w:val="nil"/>
          <w:right w:val="nil"/>
          <w:between w:val="nil"/>
        </w:pBdr>
        <w:spacing w:line="360" w:lineRule="auto"/>
        <w:ind w:firstLine="720"/>
        <w:jc w:val="both"/>
        <w:rPr>
          <w:color w:val="222222"/>
        </w:rPr>
      </w:pPr>
      <w:r>
        <w:rPr>
          <w:color w:val="222222"/>
        </w:rPr>
        <w:t>Keywords: emotional dysregulation; child-to-parent violence; associated factors; transdiagnostic approach; adolescence.</w:t>
      </w:r>
    </w:p>
    <w:p w14:paraId="67EE87F7" w14:textId="77777777" w:rsidR="00020AE8" w:rsidRDefault="00020AE8">
      <w:pPr>
        <w:spacing w:line="360" w:lineRule="auto"/>
        <w:jc w:val="center"/>
        <w:rPr>
          <w:b/>
          <w:bCs/>
          <w:color w:val="222222"/>
        </w:rPr>
      </w:pPr>
    </w:p>
    <w:p w14:paraId="44E2EFB0" w14:textId="77777777" w:rsidR="00020AE8" w:rsidRDefault="00020AE8">
      <w:pPr>
        <w:spacing w:line="360" w:lineRule="auto"/>
        <w:jc w:val="center"/>
        <w:rPr>
          <w:b/>
          <w:bCs/>
          <w:color w:val="222222"/>
        </w:rPr>
      </w:pPr>
    </w:p>
    <w:p w14:paraId="51120E6D" w14:textId="77777777" w:rsidR="00020AE8" w:rsidRDefault="00020AE8">
      <w:pPr>
        <w:spacing w:line="360" w:lineRule="auto"/>
        <w:jc w:val="center"/>
        <w:rPr>
          <w:b/>
          <w:bCs/>
          <w:color w:val="222222"/>
        </w:rPr>
      </w:pPr>
    </w:p>
    <w:p w14:paraId="3CC03D1F" w14:textId="77777777" w:rsidR="00020AE8" w:rsidRDefault="00000000">
      <w:pPr>
        <w:rPr>
          <w:b/>
          <w:bCs/>
          <w:color w:val="222222"/>
        </w:rPr>
      </w:pPr>
      <w:r>
        <w:br w:type="page"/>
      </w:r>
    </w:p>
    <w:p w14:paraId="35F599B7" w14:textId="77777777" w:rsidR="00020AE8" w:rsidRDefault="00000000">
      <w:pPr>
        <w:pBdr>
          <w:top w:val="nil"/>
          <w:left w:val="nil"/>
          <w:bottom w:val="nil"/>
          <w:right w:val="nil"/>
          <w:between w:val="nil"/>
        </w:pBdr>
        <w:spacing w:before="280" w:line="360" w:lineRule="auto"/>
        <w:jc w:val="center"/>
        <w:rPr>
          <w:b/>
          <w:bCs/>
          <w:color w:val="222222"/>
        </w:rPr>
      </w:pPr>
      <w:r>
        <w:rPr>
          <w:b/>
          <w:bCs/>
          <w:color w:val="222222"/>
        </w:rPr>
        <w:lastRenderedPageBreak/>
        <w:t>INTRODUCCIÓN</w:t>
      </w:r>
    </w:p>
    <w:p w14:paraId="2A16D7F3"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violencia familiar constituye un flagelo de alto impacto en los grupos primarios, ya sea que se manifieste en el subsistema parental, conyugal o fraterno (Losada, 2015). Dentro de esta amplia problemática, cobra particular relevancia el estudio de la violencia que se desarrolla en sentido ascendente, es decir, desde los hijos hacia sus progenitores (Losada y Marmo, 2017, 2019). Las investigaciones disponibles estiman que entre un 3% y un 13% de los adolescentes han ejercido algún tipo de conducta agresiva hacia sus padres, situándose la prevalencia en torno al 10%. Si bien no existe un consenso claro respecto al sexo del agresor, diversos estudios señalan una mayor incidencia en varones. La aparición de la Violencia Filio-Parental (VFP) suele situarse a partir del inicio de la pubertad, alrededor de los 11 a 12 años, aunque muchos progenitores refieren dificultades en la crianza desde etapas más tempranas e incluso se han documentado casos aislados de inicio precoz (Cagigal de Gregorio et al., 2008).</w:t>
      </w:r>
    </w:p>
    <w:p w14:paraId="49675048" w14:textId="77777777" w:rsidR="00020AE8" w:rsidRDefault="00000000">
      <w:pPr>
        <w:pBdr>
          <w:top w:val="nil"/>
          <w:left w:val="nil"/>
          <w:bottom w:val="nil"/>
          <w:right w:val="nil"/>
          <w:between w:val="nil"/>
        </w:pBdr>
        <w:spacing w:line="360" w:lineRule="auto"/>
        <w:ind w:firstLine="720"/>
        <w:jc w:val="both"/>
        <w:rPr>
          <w:color w:val="222222"/>
        </w:rPr>
      </w:pPr>
      <w:r>
        <w:rPr>
          <w:color w:val="222222"/>
        </w:rPr>
        <w:t>Resulta fundamental diferenciar entre los procesos individuales y el carácter relacional de la VFP. Este fenómeno no puede comprenderse de manera aislada del contexto familiar en el que se desarrolla, dado que las dinámicas de interacción, los estilos educativos y los patrones de comunicación desempeñan un papel central en su aparición y mantenimiento (Pereira, 2011). Por tanto, la VFP debe abordarse como un fenómeno complejo y multidimensional, en el que convergen factores tanto individuales como sistémicos.</w:t>
      </w:r>
    </w:p>
    <w:p w14:paraId="1B7FAD2E"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 cuanto a la regulación emocional, ésta se define como la capacidad de gestionar, tolerar y modular las emociones en función de las demandas del contexto (Aldao, 2012; Gross, 2013). Cuando las estrategias empleadas son desadaptativas, como la evitación, la supresión o la rumiación y afectan al comportamiento dirigido a metas, se configura la desregulación emocional, un constructo reconocido como factor de riesgo psicopatológico (Aldao et al., 2010; Beauchaine y Gatzke-Kopp, 2012). Desde un enfoque transdiagnóstico, la desregulación emocional es considerada un mecanismo central implicado en diversos trastornos psicopatológicos, asociándose en la población adolescente con impulsividad, baja tolerancia a la frustración, dificultades en las relaciones sociales y mayor vulnerabilidad a problemas psicológicos (Masi et al., 2015, citado en Toro et al., 2020).</w:t>
      </w:r>
    </w:p>
    <w:p w14:paraId="0C237B15"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En esta línea, Milozzi y Marmo (2021) sostienen que los déficits en la capacidad de regulación emocional en niños y niñas se asocian con diversos trastornos, entre ellos los del comportamiento, las dificultades en el control de impulsos, los déficits en habilidades sociales y los procesos de somatización. De manera complementaria, otros estudios proponen estrategias preventivas aplicables en etapas previas al desarrollo de situaciones de violencia familiar (Milozzi, 2018, 2025). La desregulación emocional puede manifestarse en múltiples trastornos </w:t>
      </w:r>
      <w:r>
        <w:rPr>
          <w:color w:val="222222"/>
        </w:rPr>
        <w:lastRenderedPageBreak/>
        <w:t>del neurodesarrollo, de la conducta y del estado de ánimo. No obstante, su presencia no implica necesariamente la aparición de VFP, sino que actúa como factor de riesgo que interactúa con variables individuales, familiares y contextuales. En este marco, la VFP debe entenderse como un fenómeno complejo en el cual la desregulación emocional desempeña un papel relevante pero no exclusivo. Su comprensión requiere integrar tanto los procesos individuales como las dinámicas familiares, favoreciendo modelos explicativos más amplios que orienten la investigación y la intervención clínica.</w:t>
      </w:r>
    </w:p>
    <w:p w14:paraId="48357F0A"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Entre los hallazgos científicos disponibles, se ha documentado que la VFP puede desarrollarse como un ciclo coercitivo en el cual las interacciones entre padres e hijos se retroalimentan. Inicialmente, los progenitores tienden a recurrir a la comprensión y la negociación; sin embargo, ante el incremento de las demandas del adolescente, suelen responder con mayor rigidez, lo que provoca una intensificación de la conducta agresiva del hijo. Esto genera una dinámica en la cual los padres alternan entre posturas severas y permisivas, mientras el adolescente refuerza sus conductas, perpetuando así un conflicto familiar sostenido por la lucha de poder (Aroca-Montolío et al., 2014).</w:t>
      </w:r>
    </w:p>
    <w:p w14:paraId="47577521" w14:textId="77777777" w:rsidR="00020AE8" w:rsidRDefault="00000000">
      <w:pPr>
        <w:pBdr>
          <w:top w:val="nil"/>
          <w:left w:val="nil"/>
          <w:bottom w:val="nil"/>
          <w:right w:val="nil"/>
          <w:between w:val="nil"/>
        </w:pBdr>
        <w:spacing w:line="360" w:lineRule="auto"/>
        <w:ind w:firstLine="720"/>
        <w:jc w:val="both"/>
        <w:rPr>
          <w:color w:val="222222"/>
        </w:rPr>
      </w:pPr>
      <w:r>
        <w:rPr>
          <w:color w:val="222222"/>
        </w:rPr>
        <w:t>Por otra parte, los progenitores suelen explicar el inicio de la VFP a partir de tres hipótesis principales: el "alumno ausente", el "alumno consumidor" y la "acumulación de tensión". Estas perspectivas sugieren que tanto factores del entorno como conductas de riesgo propias de la adolescencia son percibidas como elementos desencadenantes de las conductas violentas hacia los padres (Del Moral Arroyo et al., 2015).</w:t>
      </w:r>
    </w:p>
    <w:p w14:paraId="01354C4F" w14:textId="77777777" w:rsidR="00020AE8" w:rsidRDefault="00000000">
      <w:pPr>
        <w:pBdr>
          <w:top w:val="nil"/>
          <w:left w:val="nil"/>
          <w:bottom w:val="nil"/>
          <w:right w:val="nil"/>
          <w:between w:val="nil"/>
        </w:pBdr>
        <w:spacing w:line="360" w:lineRule="auto"/>
        <w:ind w:firstLine="720"/>
        <w:jc w:val="both"/>
        <w:rPr>
          <w:color w:val="222222"/>
        </w:rPr>
      </w:pPr>
      <w:r>
        <w:rPr>
          <w:color w:val="222222"/>
        </w:rPr>
        <w:t>Existen distintas conceptualizaciones sobre el papel de la desregulación emocional en la VFP. Coronado (2023) plantea la VFP como una conducta instrumental de origen multicausal, en la que predominan los factores relacionales y contextuales, considerando la desregulación emocional de manera implícita dentro de este marco amplio. En contraste, Acero et al. (2016) destacan la desregulación emocional como factor clave directamente asociado a la VFP, dado que favorece respuestas impulsivas y agresivas frente a emociones como la ira o la frustración, actuando como mecanismo mediador entre los estresores y la conducta violenta.</w:t>
      </w:r>
    </w:p>
    <w:p w14:paraId="74BD1397"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 este contexto, la presente revisión sistemática tiene como objetivo analizar la evidencia empírica disponible sobre la relación entre la desregulación emocional y la VFP en población infantil y adolescente. La pregunta de investigación que orienta el estudio es: ¿qué relación existe entre la desregulación emocional y la violencia filio-parental en niños y adolescentes?</w:t>
      </w:r>
    </w:p>
    <w:p w14:paraId="14A57E19" w14:textId="77777777" w:rsidR="00020AE8" w:rsidRDefault="00000000">
      <w:pPr>
        <w:pBdr>
          <w:top w:val="nil"/>
          <w:left w:val="nil"/>
          <w:bottom w:val="nil"/>
          <w:right w:val="nil"/>
          <w:between w:val="nil"/>
        </w:pBdr>
        <w:spacing w:line="360" w:lineRule="auto"/>
        <w:ind w:firstLine="720"/>
        <w:jc w:val="center"/>
        <w:rPr>
          <w:b/>
          <w:bCs/>
          <w:color w:val="222222"/>
        </w:rPr>
      </w:pPr>
      <w:r>
        <w:rPr>
          <w:b/>
          <w:bCs/>
          <w:color w:val="222222"/>
        </w:rPr>
        <w:t>MÉTODO</w:t>
      </w:r>
    </w:p>
    <w:p w14:paraId="2BE335DD" w14:textId="77777777" w:rsidR="00020AE8" w:rsidRDefault="00000000">
      <w:pPr>
        <w:pBdr>
          <w:top w:val="nil"/>
          <w:left w:val="nil"/>
          <w:bottom w:val="nil"/>
          <w:right w:val="nil"/>
          <w:between w:val="nil"/>
        </w:pBdr>
        <w:spacing w:line="360" w:lineRule="auto"/>
        <w:ind w:firstLine="720"/>
        <w:rPr>
          <w:b/>
          <w:bCs/>
          <w:i/>
          <w:iCs/>
          <w:color w:val="222222"/>
        </w:rPr>
      </w:pPr>
      <w:r>
        <w:rPr>
          <w:i/>
          <w:iCs/>
          <w:color w:val="222222"/>
        </w:rPr>
        <w:t>Diseño</w:t>
      </w:r>
    </w:p>
    <w:p w14:paraId="46961C47" w14:textId="77777777" w:rsidR="00020AE8" w:rsidRDefault="00000000">
      <w:pPr>
        <w:pBdr>
          <w:top w:val="nil"/>
          <w:left w:val="nil"/>
          <w:bottom w:val="nil"/>
          <w:right w:val="nil"/>
          <w:between w:val="nil"/>
        </w:pBdr>
        <w:spacing w:line="360" w:lineRule="auto"/>
        <w:ind w:firstLine="720"/>
        <w:jc w:val="both"/>
        <w:rPr>
          <w:color w:val="222222"/>
        </w:rPr>
      </w:pPr>
      <w:r>
        <w:rPr>
          <w:color w:val="222222"/>
        </w:rPr>
        <w:lastRenderedPageBreak/>
        <w:t>Se llevó adelante una revisión sistemática como estrategia de hallazgo de evidencia científica relevante, ponderando el objeto de estudio y el recorte temático establecido (Losada et al., 2022; Marmo et al., 2022). El estudio se ajustó a los lineamientos de la declaración PRISMA, según lo propuesto por Moher et al. (2016) y actualizado por Page et al. (2021).</w:t>
      </w:r>
    </w:p>
    <w:p w14:paraId="07C7A417" w14:textId="77777777" w:rsidR="00020AE8" w:rsidRDefault="00000000">
      <w:pPr>
        <w:pBdr>
          <w:top w:val="nil"/>
          <w:left w:val="nil"/>
          <w:bottom w:val="nil"/>
          <w:right w:val="nil"/>
          <w:between w:val="nil"/>
        </w:pBdr>
        <w:spacing w:line="360" w:lineRule="auto"/>
        <w:ind w:firstLine="720"/>
        <w:jc w:val="center"/>
        <w:rPr>
          <w:b/>
          <w:bCs/>
          <w:color w:val="222222"/>
        </w:rPr>
      </w:pPr>
      <w:r>
        <w:rPr>
          <w:b/>
          <w:bCs/>
          <w:color w:val="222222"/>
        </w:rPr>
        <w:t>PROCEDIMIENTO</w:t>
      </w:r>
    </w:p>
    <w:p w14:paraId="10EEC719" w14:textId="77777777" w:rsidR="00020AE8" w:rsidRDefault="00000000">
      <w:pPr>
        <w:pBdr>
          <w:top w:val="nil"/>
          <w:left w:val="nil"/>
          <w:bottom w:val="nil"/>
          <w:right w:val="nil"/>
          <w:between w:val="nil"/>
        </w:pBdr>
        <w:spacing w:line="360" w:lineRule="auto"/>
        <w:ind w:firstLine="720"/>
        <w:rPr>
          <w:b/>
          <w:bCs/>
          <w:i/>
          <w:iCs/>
          <w:color w:val="222222"/>
        </w:rPr>
      </w:pPr>
      <w:r>
        <w:rPr>
          <w:i/>
          <w:iCs/>
          <w:color w:val="222222"/>
        </w:rPr>
        <w:t>Fuentes de información</w:t>
      </w:r>
    </w:p>
    <w:p w14:paraId="3358BB29" w14:textId="77777777" w:rsidR="00020AE8" w:rsidRDefault="00000000">
      <w:pPr>
        <w:pBdr>
          <w:top w:val="nil"/>
          <w:left w:val="nil"/>
          <w:bottom w:val="nil"/>
          <w:right w:val="nil"/>
          <w:between w:val="nil"/>
        </w:pBdr>
        <w:spacing w:line="360" w:lineRule="auto"/>
        <w:ind w:firstLine="720"/>
        <w:jc w:val="both"/>
        <w:rPr>
          <w:color w:val="222222"/>
        </w:rPr>
      </w:pPr>
      <w:r>
        <w:rPr>
          <w:color w:val="222222"/>
        </w:rPr>
        <w:t>Se consultaron las bases de datos Redalyc, Dialnet y SciELO, en su condición de repositorios de acceso abierto y de fácil disponibilidad, junto con PubMed y Scopus, a fin de complementar la cobertura iberoamericana con producción internacional indexada. Cuando el acceso directo desde las bases resultó restringido durante el tercer cribado, se recurrió a repositorios científicos y motores de acceso abierto, ya sean ResearchGate o Google Scholar, garantizando la descarga legal, íntegra y gratuita del documento, conforme a los principios de acceso abierto a la información científica (Hernández Sampieri y Mendoza, 2018).</w:t>
      </w:r>
    </w:p>
    <w:p w14:paraId="6E10ECC2" w14:textId="77777777" w:rsidR="00020AE8" w:rsidRDefault="00000000">
      <w:pPr>
        <w:pBdr>
          <w:top w:val="nil"/>
          <w:left w:val="nil"/>
          <w:bottom w:val="nil"/>
          <w:right w:val="nil"/>
          <w:between w:val="nil"/>
        </w:pBdr>
        <w:spacing w:line="360" w:lineRule="auto"/>
        <w:ind w:firstLine="720"/>
        <w:jc w:val="both"/>
        <w:rPr>
          <w:i/>
          <w:iCs/>
          <w:color w:val="222222"/>
        </w:rPr>
      </w:pPr>
      <w:r>
        <w:rPr>
          <w:i/>
          <w:iCs/>
          <w:color w:val="222222"/>
        </w:rPr>
        <w:t>Criterios de elegibilidad (PICOS)</w:t>
      </w:r>
    </w:p>
    <w:p w14:paraId="1A57B8A7" w14:textId="77777777" w:rsidR="00020AE8" w:rsidRDefault="00000000">
      <w:pPr>
        <w:pBdr>
          <w:top w:val="nil"/>
          <w:left w:val="nil"/>
          <w:bottom w:val="nil"/>
          <w:right w:val="nil"/>
          <w:between w:val="nil"/>
        </w:pBdr>
        <w:spacing w:line="360" w:lineRule="auto"/>
        <w:ind w:firstLine="720"/>
        <w:jc w:val="both"/>
        <w:rPr>
          <w:color w:val="222222"/>
        </w:rPr>
      </w:pPr>
      <w:r>
        <w:rPr>
          <w:color w:val="222222"/>
        </w:rPr>
        <w:t>Los criterios de inclusión y exclusión se definieron siguiendo la estrategia PICOS (</w:t>
      </w:r>
      <w:r>
        <w:rPr>
          <w:i/>
          <w:iCs/>
          <w:color w:val="222222"/>
        </w:rPr>
        <w:t>Population, Intervention/Exposure, Comparison, Outcomes, Study design</w:t>
      </w:r>
      <w:r>
        <w:rPr>
          <w:color w:val="222222"/>
        </w:rPr>
        <w:t>), recomendada por la declaración PRISMA 2020 para delimitar con precisión la pregunta de investigación y reducir el sesgo de selección (Page et al., 2021).</w:t>
      </w:r>
    </w:p>
    <w:p w14:paraId="3253A0FB" w14:textId="77777777" w:rsidR="00020AE8" w:rsidRDefault="00000000">
      <w:pPr>
        <w:pBdr>
          <w:top w:val="nil"/>
          <w:left w:val="nil"/>
          <w:bottom w:val="nil"/>
          <w:right w:val="nil"/>
          <w:between w:val="nil"/>
        </w:pBdr>
        <w:spacing w:line="360" w:lineRule="auto"/>
        <w:ind w:firstLine="720"/>
        <w:jc w:val="both"/>
        <w:rPr>
          <w:color w:val="222222"/>
        </w:rPr>
      </w:pPr>
      <w:r>
        <w:rPr>
          <w:color w:val="222222"/>
        </w:rPr>
        <w:t>Población (P): niños, niñas y adolescentes de entre 6 y 18 años, procedentes tanto de muestras clínicas como comunitarias.</w:t>
      </w:r>
    </w:p>
    <w:p w14:paraId="4D538D82" w14:textId="77777777" w:rsidR="00020AE8" w:rsidRDefault="00000000">
      <w:pPr>
        <w:pBdr>
          <w:top w:val="nil"/>
          <w:left w:val="nil"/>
          <w:bottom w:val="nil"/>
          <w:right w:val="nil"/>
          <w:between w:val="nil"/>
        </w:pBdr>
        <w:spacing w:line="360" w:lineRule="auto"/>
        <w:ind w:firstLine="720"/>
        <w:jc w:val="both"/>
        <w:rPr>
          <w:color w:val="222222"/>
        </w:rPr>
      </w:pPr>
      <w:r>
        <w:rPr>
          <w:color w:val="222222"/>
        </w:rPr>
        <w:t>Exposición / Variable de interés (I): presencia de desregulación emocional, irritabilidad, dificultades en la regulación de las emociones o impulsividad emocional, evaluadas mediante instrumentos psicométricos validados o entrevistas estructuradas.</w:t>
      </w:r>
    </w:p>
    <w:p w14:paraId="19688347" w14:textId="77777777" w:rsidR="00020AE8" w:rsidRDefault="00000000">
      <w:pPr>
        <w:pBdr>
          <w:top w:val="nil"/>
          <w:left w:val="nil"/>
          <w:bottom w:val="nil"/>
          <w:right w:val="nil"/>
          <w:between w:val="nil"/>
        </w:pBdr>
        <w:spacing w:line="360" w:lineRule="auto"/>
        <w:ind w:firstLine="720"/>
        <w:jc w:val="both"/>
        <w:rPr>
          <w:color w:val="222222"/>
        </w:rPr>
      </w:pPr>
      <w:r>
        <w:rPr>
          <w:color w:val="222222"/>
        </w:rPr>
        <w:t>Comparación (C): cuando el diseño lo permitiera, se contemplaron contrastes entre grupos con y sin manifestaciones de violencia filio-parental (VFP), entre subgrupos con distintos niveles de desregulación emocional o frente a grupos de control normativo. La ausencia de un grupo de comparación no constituyó motivo de exclusión, dada la naturaleza del fenómeno y la heterogeneidad de los diseños disponibles.</w:t>
      </w:r>
    </w:p>
    <w:p w14:paraId="59810678"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Resultados (O): indicadores conductuales, clínicos o autoinformados de VFP o de agresión dirigida a progenitores y cuidadores principales, junto con medidas de su asociación con la desregulación emocional. Constituye requisito indispensable que cada trabajo abordara conjuntamente ambas variables y reportara, explícita o implícitamente, evidencia sobre el vínculo entre ellas (asociación, predicción, mediación, moderación o coocurrencia clínica). Por </w:t>
      </w:r>
      <w:r>
        <w:rPr>
          <w:color w:val="222222"/>
        </w:rPr>
        <w:lastRenderedPageBreak/>
        <w:t>consiguiente, se descartaron los trabajos que tematizan solo una de las dos sin examinar su relación.</w:t>
      </w:r>
    </w:p>
    <w:p w14:paraId="45E214F7" w14:textId="77777777" w:rsidR="00020AE8" w:rsidRDefault="00000000">
      <w:pPr>
        <w:pBdr>
          <w:top w:val="nil"/>
          <w:left w:val="nil"/>
          <w:bottom w:val="nil"/>
          <w:right w:val="nil"/>
          <w:between w:val="nil"/>
        </w:pBdr>
        <w:spacing w:line="360" w:lineRule="auto"/>
        <w:ind w:firstLine="720"/>
        <w:jc w:val="both"/>
        <w:rPr>
          <w:color w:val="222222"/>
        </w:rPr>
      </w:pPr>
      <w:r>
        <w:rPr>
          <w:color w:val="222222"/>
        </w:rPr>
        <w:t>Diseño del estudio (S): únicamente estudios empíricos ya sean cuantitativos -transversales, longitudinales o de casos y controles-, cualitativos o de métodos mixtos. Se excluyeron de manera explícita las revisiones narrativas y sistemáticas, los metaanálisis, los ensayos teóricos, los editoriales, las cartas al editor y las tesis no empíricas, con el fin de fundamentar la síntesis exclusivamente en evidencia primaria.</w:t>
      </w:r>
    </w:p>
    <w:p w14:paraId="0D4B2CBD" w14:textId="77777777" w:rsidR="00020AE8" w:rsidRDefault="00000000">
      <w:pPr>
        <w:pBdr>
          <w:top w:val="nil"/>
          <w:left w:val="nil"/>
          <w:bottom w:val="nil"/>
          <w:right w:val="nil"/>
          <w:between w:val="nil"/>
        </w:pBdr>
        <w:spacing w:line="360" w:lineRule="auto"/>
        <w:ind w:firstLine="720"/>
        <w:jc w:val="both"/>
        <w:rPr>
          <w:color w:val="222222"/>
        </w:rPr>
      </w:pPr>
      <w:r>
        <w:rPr>
          <w:color w:val="222222"/>
        </w:rPr>
        <w:t>Como criterios complementarios de inclusión, se admitieron publicaciones en español, inglés o portugués, con texto completo disponible publicados entre 2016 y 2026, a fin de reflejar la producción científica de la última década. Se admitieron también investigaciones sobre cuadros asociados como TDAH, trastornos de conducta, trastorno de desregulación disruptiva del estado de ánimo o trastornos del estado de ánimo, siempre que aporten datos empíricos sobre su articulación con la desregulación emocional y la VFP.</w:t>
      </w:r>
    </w:p>
    <w:p w14:paraId="17FFFC72" w14:textId="77777777" w:rsidR="00020AE8" w:rsidRDefault="00000000">
      <w:pPr>
        <w:pBdr>
          <w:top w:val="nil"/>
          <w:left w:val="nil"/>
          <w:bottom w:val="nil"/>
          <w:right w:val="nil"/>
          <w:between w:val="nil"/>
        </w:pBdr>
        <w:spacing w:line="360" w:lineRule="auto"/>
        <w:ind w:firstLine="720"/>
        <w:jc w:val="both"/>
        <w:rPr>
          <w:color w:val="222222"/>
        </w:rPr>
      </w:pPr>
      <w:r>
        <w:rPr>
          <w:color w:val="222222"/>
        </w:rPr>
        <w:t>Se descartaron, por el contrario: (a) trabajos con población exclusivamente adulta; (b) estudios que no evaluasen específicamente la VFP, o que analizasen agresión general sin dirigirse a padres o cuidadores; (c) investigaciones que no abordaran la desregulación emocional ni su vinculación con la VFP; (d) trabajos centrados en una sola de las dos variables sin examinar su relación recíproca, ya fuera en términos asociativos, predictivos o explicativos; (e) publicaciones en idiomas distintos al español, portugués o inglés; (f) materiales editados con anterioridad a 2016; y (g) estudios no empíricos (revisiones, ensayos teóricos, opiniones, editoriales y cartas al editor).</w:t>
      </w:r>
    </w:p>
    <w:p w14:paraId="52845437" w14:textId="77777777" w:rsidR="00020AE8" w:rsidRDefault="00000000">
      <w:pPr>
        <w:pBdr>
          <w:top w:val="nil"/>
          <w:left w:val="nil"/>
          <w:bottom w:val="nil"/>
          <w:right w:val="nil"/>
          <w:between w:val="nil"/>
        </w:pBdr>
        <w:spacing w:line="360" w:lineRule="auto"/>
        <w:ind w:firstLine="720"/>
        <w:jc w:val="both"/>
        <w:rPr>
          <w:i/>
          <w:iCs/>
          <w:color w:val="222222"/>
        </w:rPr>
      </w:pPr>
      <w:r>
        <w:rPr>
          <w:i/>
          <w:iCs/>
          <w:color w:val="222222"/>
        </w:rPr>
        <w:t>Estrategia de búsqueda</w:t>
      </w:r>
    </w:p>
    <w:p w14:paraId="399FA1AA" w14:textId="77777777" w:rsidR="00020AE8" w:rsidRDefault="00000000">
      <w:pPr>
        <w:pBdr>
          <w:top w:val="nil"/>
          <w:left w:val="nil"/>
          <w:bottom w:val="nil"/>
          <w:right w:val="nil"/>
          <w:between w:val="nil"/>
        </w:pBdr>
        <w:spacing w:line="360" w:lineRule="auto"/>
        <w:ind w:firstLine="720"/>
        <w:jc w:val="both"/>
        <w:rPr>
          <w:color w:val="222222"/>
        </w:rPr>
      </w:pPr>
      <w:r>
        <w:rPr>
          <w:color w:val="222222"/>
        </w:rPr>
        <w:t>Se emplearon los operadores booleanos AND y OR, junto con paréntesis y comillas para frases exactas, ajustando las cadenas a la sintaxis específica de cada base de datos.</w:t>
      </w:r>
    </w:p>
    <w:p w14:paraId="3C09CEE0" w14:textId="77777777" w:rsidR="00020AE8" w:rsidRDefault="00020AE8">
      <w:pPr>
        <w:rPr>
          <w:color w:val="222222"/>
        </w:rPr>
      </w:pPr>
    </w:p>
    <w:p w14:paraId="5F52323A" w14:textId="77777777" w:rsidR="00020AE8" w:rsidRDefault="00000000">
      <w:pPr>
        <w:spacing w:line="360" w:lineRule="auto"/>
        <w:ind w:firstLine="360"/>
        <w:jc w:val="both"/>
        <w:rPr>
          <w:color w:val="222222"/>
        </w:rPr>
      </w:pPr>
      <w:r>
        <w:rPr>
          <w:color w:val="222222"/>
        </w:rPr>
        <w:t>Las estrategias de búsqueda efectivamente ejecutadas en cada base, con sus operadores, campos y filtros, fueron las siguientes (última búsqueda: marzo de 2026; rango de publicación 2016-2026)</w:t>
      </w:r>
    </w:p>
    <w:p w14:paraId="6F5DC684" w14:textId="77777777" w:rsidR="00020AE8" w:rsidRDefault="00000000">
      <w:pPr>
        <w:pBdr>
          <w:top w:val="nil"/>
          <w:left w:val="nil"/>
          <w:bottom w:val="nil"/>
          <w:right w:val="nil"/>
          <w:between w:val="nil"/>
        </w:pBdr>
        <w:spacing w:line="360" w:lineRule="auto"/>
        <w:jc w:val="both"/>
        <w:rPr>
          <w:color w:val="222222"/>
        </w:rPr>
      </w:pPr>
      <w:r>
        <w:rPr>
          <w:color w:val="222222"/>
        </w:rPr>
        <w:t xml:space="preserve">- Scopus (22 resultados). TITLE-ABS-KEY(("child-to-parent violence" OR "child-to-parent aggression" OR "adolescent-to-parent violence" OR "parent-directed aggression" OR "violence against parents" OR "filio-parental" OR "parent abuse" OR "violencia filio-parental" OR "violencia filio parental" OR "agresion a padres" OR "violencia ascendente") AND ("emotional dysregulation" OR "emotion regulation" OR "emotional regulation" OR irritability OR </w:t>
      </w:r>
      <w:r>
        <w:rPr>
          <w:color w:val="222222"/>
        </w:rPr>
        <w:lastRenderedPageBreak/>
        <w:t>impulsivity OR "anger regulation" OR "affect regulation" OR "desregulacion emocional" OR "regulacion emocional" OR irritabilidad)) AND PUBYEAR &gt; 2015 AND PUBYEAR &lt; 2027</w:t>
      </w:r>
    </w:p>
    <w:p w14:paraId="7B95A1EC" w14:textId="77777777" w:rsidR="00020AE8" w:rsidRDefault="00000000">
      <w:pPr>
        <w:pBdr>
          <w:top w:val="nil"/>
          <w:left w:val="nil"/>
          <w:bottom w:val="nil"/>
          <w:right w:val="nil"/>
          <w:between w:val="nil"/>
        </w:pBdr>
        <w:spacing w:line="360" w:lineRule="auto"/>
        <w:jc w:val="both"/>
        <w:rPr>
          <w:color w:val="222222"/>
        </w:rPr>
      </w:pPr>
      <w:r>
        <w:rPr>
          <w:color w:val="222222"/>
        </w:rPr>
        <w:t>- PubMed (24 resultados). ("child-to-parent violence"[tiab] OR "child-to-parent aggression"[tiab] OR "adolescent-to-parent violence"[tiab] OR "parent-directed aggression"[tiab] OR "violence against parents"[tiab] OR "filio-parental"[tiab] OR "parent abuse"[tiab] OR "family aggression"[tiab]) AND ("emotional dysregulation"[tiab] OR "emotion regulation"[tiab] OR irritability[tiab] OR impulsivity[tiab] OR "anger"[tiab] OR ADHD[tiab] OR "conduct disorder"[tiab] OR "mood disorders"[tiab] OR "affect regulation"[tiab] OR "disruptive mood"[tiab])</w:t>
      </w:r>
    </w:p>
    <w:p w14:paraId="3671D132" w14:textId="77777777" w:rsidR="00020AE8" w:rsidRDefault="00000000">
      <w:pPr>
        <w:pBdr>
          <w:top w:val="nil"/>
          <w:left w:val="nil"/>
          <w:bottom w:val="nil"/>
          <w:right w:val="nil"/>
          <w:between w:val="nil"/>
        </w:pBdr>
        <w:spacing w:line="360" w:lineRule="auto"/>
        <w:jc w:val="both"/>
        <w:rPr>
          <w:color w:val="222222"/>
        </w:rPr>
      </w:pPr>
      <w:r>
        <w:rPr>
          <w:color w:val="222222"/>
        </w:rPr>
        <w:t>- SciELO (30 resultados). ("violencia filio parental" OR "violencia filio-parental" OR "child-to-parent violence" OR "adolescent-to-parent violence" OR "agresion a padres" OR "violence against parents"), con filtro temporal 2016-2026. La intersección de violencia filio-parental con desregulación emocional rendía solo dos resultados en SciELO, por lo que se optó por una búsqueda amplia centrada en la VFP para maximizar la sensibilidad, reservando el cribado de pertinencia para las etapas posteriores.</w:t>
      </w:r>
    </w:p>
    <w:p w14:paraId="47734BBF" w14:textId="77777777" w:rsidR="00020AE8" w:rsidRDefault="00000000">
      <w:pPr>
        <w:pBdr>
          <w:top w:val="nil"/>
          <w:left w:val="nil"/>
          <w:bottom w:val="nil"/>
          <w:right w:val="nil"/>
          <w:between w:val="nil"/>
        </w:pBdr>
        <w:spacing w:line="360" w:lineRule="auto"/>
        <w:jc w:val="both"/>
        <w:rPr>
          <w:color w:val="222222"/>
        </w:rPr>
      </w:pPr>
      <w:r>
        <w:rPr>
          <w:color w:val="222222"/>
        </w:rPr>
        <w:t>- Dialnet (14 resultados). "violencia filio-parental" AND ("regulacion emocional" OR "desregulación emocional" OR irritabilidad OR impulsividad) La plataforma limita la consulta a 160 caracteres y no ofrece exportación RIS nativa, por lo que los registros se compilaron manualmente.</w:t>
      </w:r>
    </w:p>
    <w:p w14:paraId="2D2DBD66" w14:textId="77777777" w:rsidR="00020AE8" w:rsidRDefault="00000000">
      <w:pPr>
        <w:pBdr>
          <w:top w:val="nil"/>
          <w:left w:val="nil"/>
          <w:bottom w:val="nil"/>
          <w:right w:val="nil"/>
          <w:between w:val="nil"/>
        </w:pBdr>
        <w:spacing w:line="360" w:lineRule="auto"/>
        <w:jc w:val="both"/>
        <w:rPr>
          <w:color w:val="222222"/>
        </w:rPr>
      </w:pPr>
      <w:r>
        <w:rPr>
          <w:color w:val="222222"/>
        </w:rPr>
        <w:t>- Redalyc (4 resultados). Redalyc no admite búsqueda por frase exacta ni operadores booleanos funcionales: cualquier consulta se procesa como texto libre y devuelve decenas de miles de resultados irrelevantes (p. ej., más de 83.000 para “violencia filio-parental”). Por esta limitación técnica, los cuatro registros de Redalyc se identificaron mediante búsqueda y selección manual, y se consigna esta restricción conforme a las recomendaciones de transparencia de PRISMA 2020.</w:t>
      </w:r>
    </w:p>
    <w:p w14:paraId="4EC7B1D1" w14:textId="77777777" w:rsidR="00020AE8" w:rsidRDefault="00000000">
      <w:pPr>
        <w:pBdr>
          <w:top w:val="nil"/>
          <w:left w:val="nil"/>
          <w:bottom w:val="nil"/>
          <w:right w:val="nil"/>
          <w:between w:val="nil"/>
        </w:pBdr>
        <w:spacing w:line="360" w:lineRule="auto"/>
        <w:ind w:left="720"/>
        <w:jc w:val="both"/>
        <w:rPr>
          <w:color w:val="222222"/>
        </w:rPr>
      </w:pPr>
      <w:r>
        <w:rPr>
          <w:i/>
          <w:iCs/>
          <w:color w:val="222222"/>
        </w:rPr>
        <w:t>Proceso de selección de los estudios</w:t>
      </w:r>
    </w:p>
    <w:p w14:paraId="5DFD8EDE"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gestión y el cribado de los registros recuperados se realizaron mediante Rayyan (Ouzzani et al., 2016), aplicación web diseñada específicamente para revisiones sistemáticas. La herramienta permitió importar y centralizar los registros provenientes de las distintas bases de datos; detectar y eliminar duplicados de forma automatizada, con verificación manual posterior; cribar de manera independiente y a doble ciego, en las fases de títulos y resúmenes, manteniendo el cegamiento mutuo entre los evaluadores hasta la resolución de discrepancias; y etiquetar sistemáticamente los motivos de exclusión en cada fase.</w:t>
      </w:r>
    </w:p>
    <w:p w14:paraId="635EC2B9" w14:textId="77777777" w:rsidR="00020AE8" w:rsidRDefault="00000000">
      <w:pPr>
        <w:pBdr>
          <w:top w:val="nil"/>
          <w:left w:val="nil"/>
          <w:bottom w:val="nil"/>
          <w:right w:val="nil"/>
          <w:between w:val="nil"/>
        </w:pBdr>
        <w:spacing w:line="360" w:lineRule="auto"/>
        <w:ind w:firstLine="720"/>
        <w:jc w:val="both"/>
        <w:rPr>
          <w:color w:val="222222"/>
        </w:rPr>
      </w:pPr>
      <w:r>
        <w:rPr>
          <w:color w:val="222222"/>
        </w:rPr>
        <w:lastRenderedPageBreak/>
        <w:t>La selección se desarrolló en tres cribados sucesivos: (1) revisión de títulos, (2) lectura de resúmenes y (3) examen del texto completo. Las discrepancias entre revisores se resolvieron mediante discusión y consenso en todas las fases; se previó la consulta a un tercer revisor en caso de no alcanzarse acuerdo, recurso que no resultó necesario.</w:t>
      </w:r>
    </w:p>
    <w:p w14:paraId="45611883" w14:textId="77777777" w:rsidR="00020AE8" w:rsidRDefault="00000000">
      <w:pPr>
        <w:pBdr>
          <w:top w:val="nil"/>
          <w:left w:val="nil"/>
          <w:bottom w:val="nil"/>
          <w:right w:val="nil"/>
          <w:between w:val="nil"/>
        </w:pBdr>
        <w:spacing w:line="360" w:lineRule="auto"/>
        <w:ind w:firstLine="720"/>
        <w:jc w:val="both"/>
        <w:rPr>
          <w:color w:val="222222"/>
          <w:shd w:val="clear" w:color="auto" w:fill="FF9900"/>
        </w:rPr>
      </w:pPr>
      <w:r>
        <w:rPr>
          <w:color w:val="222222"/>
        </w:rPr>
        <w:t>De los 94 registros identificados en las cinco bases de datos se eliminaron 15 duplicados antes del cribado, quedando 79 registros únicos. Tras el cribado por título, resumen y texto completo se excluyeron 59 registros (entre ellos, 2 informes cuyo texto completo no pudo recuperarse: Zalduondo, 2024; Bautista-Aranda, 2025). Los 20 informes restantes conformaron el conjunto de incluidos; durante la evaluación se identificó y eliminó 1 duplicado entre bases no detectado en la deduplicación automática (Contreras y Cano, 2016), por lo que el corpus quedó conformado por 19 estudios únicos.</w:t>
      </w:r>
    </w:p>
    <w:p w14:paraId="38F6233F" w14:textId="77777777" w:rsidR="00020AE8" w:rsidRDefault="00000000">
      <w:pPr>
        <w:pBdr>
          <w:top w:val="nil"/>
          <w:left w:val="nil"/>
          <w:bottom w:val="nil"/>
          <w:right w:val="nil"/>
          <w:between w:val="nil"/>
        </w:pBdr>
        <w:spacing w:line="360" w:lineRule="auto"/>
        <w:ind w:firstLine="720"/>
        <w:jc w:val="both"/>
        <w:rPr>
          <w:color w:val="222222"/>
          <w:shd w:val="clear" w:color="auto" w:fill="FF9900"/>
        </w:rPr>
      </w:pPr>
      <w:r>
        <w:rPr>
          <w:color w:val="222222"/>
        </w:rPr>
        <w:t>El corpus final quedó conformado por 19 estudios incluidos. De ellos, 18 son estudios primarios que constituyeron las unidades de análisis de la síntesis temática y de la evaluación del riesgo de sesgo, teniendo en cuenta que 1 (Bousquet et al., 2018) corresponde a una revisión narrativa que se reserva para el encuadre teórico y la discusión, sin evaluación de riesgo de sesgo ni peso en la síntesis. El proceso completo se representa en la Figura 1, según el formato del diagrama de flujo PRISMA 2020 (Page et al., 2021).</w:t>
      </w:r>
    </w:p>
    <w:p w14:paraId="55B2F091" w14:textId="77777777" w:rsidR="00020AE8" w:rsidRDefault="00000000">
      <w:pPr>
        <w:pBdr>
          <w:top w:val="nil"/>
          <w:left w:val="nil"/>
          <w:bottom w:val="nil"/>
          <w:right w:val="nil"/>
          <w:between w:val="nil"/>
        </w:pBdr>
        <w:spacing w:line="360" w:lineRule="auto"/>
        <w:ind w:firstLine="720"/>
        <w:jc w:val="both"/>
        <w:rPr>
          <w:i/>
          <w:iCs/>
          <w:color w:val="222222"/>
        </w:rPr>
      </w:pPr>
      <w:r>
        <w:rPr>
          <w:i/>
          <w:iCs/>
          <w:color w:val="222222"/>
        </w:rPr>
        <w:t>Extracción de datos</w:t>
      </w:r>
    </w:p>
    <w:p w14:paraId="4CC3CBDB"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extracción de la información se realizó de manera sistemática tras la selección final. Para ello se diseñó una matriz estructurada en hoja de cálculo, en la que se registraron: autor(es) y año, país, diseño metodológico, tamaño y características de la muestra -edad, sexo, tipo de población-, variables analizadas, instrumentos de medida, principales hallazgos y limitaciones reportadas. El procedimiento se llevó a cabo de forma independiente por dos revisores, contrastando los registros y dirimiendo las divergencias por consenso, con el fin de garantizar la precisión de los datos y minimizar el sesgo de información.</w:t>
      </w:r>
    </w:p>
    <w:p w14:paraId="0E7080F4"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extracción de datos y la evaluación del riesgo de sesgo fueron realizadas a partir de fichas de lectura crítica estandarizadas, consideradas la fuente principal de información para la síntesis. Una auditoría integral efectuada el 10/06/2026 verificó la concordancia entre las fichas, la base de extracción y la síntesis narrativa, incluyendo comprobaciones directas contra los artículos originales. Como resultado de este proceso se aplicaron correcciones menores de extracción y atribución de resultados, sin modificaciones sustantivas de las conclusiones.</w:t>
      </w:r>
    </w:p>
    <w:p w14:paraId="0D0FD5CE"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La valoración metodológica fue realizada utilizando la escala </w:t>
      </w:r>
      <w:r>
        <w:rPr>
          <w:i/>
          <w:iCs/>
          <w:color w:val="222222"/>
        </w:rPr>
        <w:t xml:space="preserve">Newcastle–Ottawa </w:t>
      </w:r>
      <w:r>
        <w:rPr>
          <w:color w:val="222222"/>
        </w:rPr>
        <w:t xml:space="preserve">(NOS) cuando correspondía. Dado que la NOS no establece puntos de corte oficiales para clasificar el riesgo de sesgo global, la categorización final integró tanto el puntaje obtenido como un juicio </w:t>
      </w:r>
      <w:r>
        <w:rPr>
          <w:color w:val="222222"/>
        </w:rPr>
        <w:lastRenderedPageBreak/>
        <w:t xml:space="preserve">razonado de las limitaciones observadas en cada dominio. Este criterio fue documentado explícitamente para los estudios con puntajes intermedios y quedó ratificado tras la revisión metodológica realizada el 10/06/2026. Con esto, el total de unidades de análisis es de 18. </w:t>
      </w:r>
    </w:p>
    <w:p w14:paraId="3389E60D" w14:textId="77777777" w:rsidR="00020AE8" w:rsidRDefault="00000000">
      <w:pPr>
        <w:pBdr>
          <w:top w:val="nil"/>
          <w:left w:val="nil"/>
          <w:bottom w:val="nil"/>
          <w:right w:val="nil"/>
          <w:between w:val="nil"/>
        </w:pBdr>
        <w:spacing w:line="360" w:lineRule="auto"/>
        <w:ind w:firstLine="720"/>
        <w:jc w:val="both"/>
        <w:rPr>
          <w:i/>
          <w:iCs/>
          <w:color w:val="222222"/>
        </w:rPr>
      </w:pPr>
      <w:r>
        <w:rPr>
          <w:i/>
          <w:iCs/>
          <w:color w:val="222222"/>
        </w:rPr>
        <w:t>Evaluación de la calidad metodológica y del riesgo de sesgo</w:t>
      </w:r>
    </w:p>
    <w:p w14:paraId="4C4B4CA0"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calidad metodológica, la validez interna y el riesgo de sesgo de los estudios incluidos fueron evaluados mediante instrumentos de apreciación crítica adecuados a cada tipo de diseño metodológico. Este proceso tuvo como finalidad estimar el rigor científico y la confiabilidad de la evidencia incorporada en la revisión.</w:t>
      </w:r>
    </w:p>
    <w:p w14:paraId="7FC77009" w14:textId="77777777" w:rsidR="00020AE8" w:rsidRDefault="00000000">
      <w:pPr>
        <w:pBdr>
          <w:top w:val="nil"/>
          <w:left w:val="nil"/>
          <w:bottom w:val="nil"/>
          <w:right w:val="nil"/>
          <w:between w:val="nil"/>
        </w:pBdr>
        <w:spacing w:line="360" w:lineRule="auto"/>
        <w:ind w:firstLine="720"/>
        <w:jc w:val="both"/>
        <w:rPr>
          <w:color w:val="222222"/>
          <w:highlight w:val="white"/>
        </w:rPr>
      </w:pPr>
      <w:r>
        <w:rPr>
          <w:color w:val="222222"/>
        </w:rPr>
        <w:t>En los estudios observacionales transversales, longitudinales y de casos y controles- se aplicó la Newcastle-Ottawa Scale (NOS), que examina tres dimensiones principales: la selección de la muestra, la comparabilidad entre grupos y la evaluación de los resultados o exposiciones. A partir de la puntuación obtenida, los estudios fueron clasificados en calidad metodológica alta, moderada o baja (</w:t>
      </w:r>
      <w:r>
        <w:rPr>
          <w:color w:val="222222"/>
          <w:highlight w:val="white"/>
        </w:rPr>
        <w:t xml:space="preserve">Gualdi-Russo &amp; Zaccagni, 2026). </w:t>
      </w:r>
    </w:p>
    <w:p w14:paraId="21220846"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 los estudios cualitativos se utilizó la lista de verificación del Critical Appraisal Skills Programme (CASP), orientada a valorar la claridad de los objetivos, la adecuación del diseño metodológico, la estrategia de muestreo, la rigurosidad en la recogida y el análisis de los datos, la consideración de la reflexividad y la relevancia de los hallazgos (Long et al., 2020).</w:t>
      </w:r>
    </w:p>
    <w:p w14:paraId="31A43AC6"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 los estudios de métodos mixtos se integraron los criterios correspondientes de la NOS y del CASP, atendiendo a las características específicas de cada componente metodológico.</w:t>
      </w:r>
    </w:p>
    <w:p w14:paraId="046F9380"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evaluación fue realizada de manera independiente por dos revisores. Las discrepancias fueron resueltas mediante consenso. Los resultados de esta valoración no determinaron la exclusión de estudios, aunque sí fueron considerados durante la interpretación de los hallazgos y la ponderación de la evidencia dentro de la síntesis final.</w:t>
      </w:r>
    </w:p>
    <w:p w14:paraId="477A599C" w14:textId="77777777" w:rsidR="00020AE8" w:rsidRDefault="00000000">
      <w:pPr>
        <w:pBdr>
          <w:top w:val="nil"/>
          <w:left w:val="nil"/>
          <w:bottom w:val="nil"/>
          <w:right w:val="nil"/>
          <w:between w:val="nil"/>
        </w:pBdr>
        <w:spacing w:line="360" w:lineRule="auto"/>
        <w:ind w:firstLine="720"/>
        <w:jc w:val="both"/>
        <w:rPr>
          <w:color w:val="222222"/>
        </w:rPr>
      </w:pPr>
      <w:r>
        <w:rPr>
          <w:i/>
          <w:iCs/>
          <w:color w:val="222222"/>
        </w:rPr>
        <w:t>Análisis de dato</w:t>
      </w:r>
      <w:r>
        <w:rPr>
          <w:color w:val="222222"/>
        </w:rPr>
        <w:t>s</w:t>
      </w:r>
    </w:p>
    <w:p w14:paraId="3BCC93C8"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La síntesis de los datos se llevó a cabo mediante un enfoque cualitativo de carácter narrativo, debido a la heterogeneidad de los estudios incluidos en cuanto a diseño metodológico, características muestrales, instrumentos de evaluación y formas de operacionalización de las variables analizadas, siguiendo las recomendaciones de la declaración PRISMA 2020 (Page et al., 2021). Concretamente, se empleó un análisis temático inductivo (Braun y Clarke, 2006) sobre los resultados ya publicados de los estudios incluidos, atendiendo tanto a su contenido explícito como a los supuestos subyacentes a los hallazgos. La confianza atribuida a cada tema se ponderó según el riesgo de sesgo de los estudios que lo sustentan, evaluado previamente con </w:t>
      </w:r>
      <w:r>
        <w:rPr>
          <w:color w:val="222222"/>
        </w:rPr>
        <w:lastRenderedPageBreak/>
        <w:t>la Newcastle-Ottawa Scale y el Critical Appraisal Skills Programme, de modo que los hallazgos respaldados por estudios de menor riesgo recibieron mayor peso interpretativo.</w:t>
      </w:r>
    </w:p>
    <w:p w14:paraId="324E3EE4"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Figura 1 resume el proceso del cribado definitivo donde se describe en forma gráfica la estrategia de búsqueda y selección de forma completa.</w:t>
      </w:r>
    </w:p>
    <w:p w14:paraId="7ECF857E" w14:textId="77777777" w:rsidR="00020AE8" w:rsidRDefault="00000000">
      <w:pPr>
        <w:pBdr>
          <w:top w:val="nil"/>
          <w:left w:val="nil"/>
          <w:bottom w:val="nil"/>
          <w:right w:val="nil"/>
          <w:between w:val="nil"/>
        </w:pBdr>
        <w:spacing w:line="360" w:lineRule="auto"/>
        <w:ind w:firstLine="720"/>
        <w:jc w:val="both"/>
        <w:rPr>
          <w:i/>
          <w:iCs/>
          <w:color w:val="222222"/>
        </w:rPr>
      </w:pPr>
      <w:r>
        <w:rPr>
          <w:i/>
          <w:iCs/>
          <w:color w:val="222222"/>
        </w:rPr>
        <w:t>Construcción de las categorías temáticas</w:t>
      </w:r>
    </w:p>
    <w:p w14:paraId="7A413CB7"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Las categorías temáticas se construyeron siguiendo el procedimiento de seis fases propuesto por Braun y Clarke (2006), adaptado a la naturaleza de una síntesis de revisión sistemática: en lugar de codificar datos primarios, se trabajó sobre los resultados ya publicados de cada estudio incluido.</w:t>
      </w:r>
    </w:p>
    <w:p w14:paraId="33C321C1"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 una primera fase, dos revisores leyeron de manera independiente la totalidad de los resultados de los dieciocho estudios, familiarizándose con el contenido y registrando notas preliminares sobre los hallazgos relevantes para la pregunta de investigación. A partir de esa lectura se generaron códigos iniciales que resumían cada hallazgo concreto, una asociación, un efecto de mediación o moderación, un patrón emergido en un análisis cualitativo, anotando en una hoja de codificación compartida el estudio de procedencia, el dato puntual y una etiqueta breve.</w:t>
      </w:r>
    </w:p>
    <w:p w14:paraId="5FF2CAE5" w14:textId="77777777" w:rsidR="00020AE8" w:rsidRDefault="00000000">
      <w:pPr>
        <w:pBdr>
          <w:top w:val="nil"/>
          <w:left w:val="nil"/>
          <w:bottom w:val="nil"/>
          <w:right w:val="nil"/>
          <w:between w:val="nil"/>
        </w:pBdr>
        <w:spacing w:line="360" w:lineRule="auto"/>
        <w:ind w:firstLine="720"/>
        <w:jc w:val="both"/>
        <w:rPr>
          <w:color w:val="222222"/>
        </w:rPr>
      </w:pPr>
      <w:r>
        <w:rPr>
          <w:color w:val="222222"/>
        </w:rPr>
        <w:t>Esos códigos se agruparon después en categorías más amplias según su afinidad conceptual, buscando patrones que se repitieran entre estudios más allá de las diferencias de diseño, población o instrumento. Las categorías preliminares se contrastaron entre los dos revisores con los fragmentos codificados que las sostenían, para comprobar que cada una respondía a un patrón consistente y no a un hallazgo aislado de un solo trabajo; las discrepancias se resolvieron por discusión y, cuando fue necesario, releyendo el artículo original completo.</w:t>
      </w:r>
    </w:p>
    <w:p w14:paraId="005E8E9C" w14:textId="77777777" w:rsidR="00020AE8" w:rsidRDefault="00000000">
      <w:pPr>
        <w:pBdr>
          <w:top w:val="nil"/>
          <w:left w:val="nil"/>
          <w:bottom w:val="nil"/>
          <w:right w:val="nil"/>
          <w:between w:val="nil"/>
        </w:pBdr>
        <w:spacing w:line="360" w:lineRule="auto"/>
        <w:ind w:firstLine="720"/>
        <w:jc w:val="both"/>
        <w:rPr>
          <w:color w:val="222222"/>
        </w:rPr>
      </w:pPr>
      <w:bookmarkStart w:id="0" w:name="_heading=h.3zcc7sxawp51" w:colFirst="0" w:colLast="0"/>
      <w:bookmarkEnd w:id="0"/>
      <w:r>
        <w:rPr>
          <w:color w:val="222222"/>
        </w:rPr>
        <w:t>Una vez estabilizadas, las categorías se redefinieron, se les asignó un nombre que reflejara su contenido y se ordenaron según el peso de la evidencia que las respalda, considerando tanto el número de estudios convergentes como el riesgo de sesgo evaluado previamente con la Newcastle-Ottawa Scale y el Critical Appraisal Skills Programme. Por último, se redactó la descripción narrativa de cada tema, ilustrada con los datos que mejor lo representaban  estadísticos en los estudios cuantitativos, citas o extractos en los cualitativos.</w:t>
      </w:r>
    </w:p>
    <w:p w14:paraId="46919ADD"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Este procedimiento dio lugar a seis categorías temáticas: la desregulación emocional como factor de riesgo consistente, aunque no suficiente; la impulsividad como núcleo proximal, de papel variable; la ira y la activación emocional reactiva, con especificidad para la VFP reactiva; la modulación por el género, con una vía emocional más marcada en las mujeres; la desregulación inserta en cadenas multifactoriales de parentalidad, trauma y cognición; y, como categoría transversal aplicada al conjunto del corpus, los alcances y límites de la evidencia </w:t>
      </w:r>
      <w:r>
        <w:rPr>
          <w:color w:val="222222"/>
        </w:rPr>
        <w:lastRenderedPageBreak/>
        <w:t>disponible. La distribución completa de los estudios según estas categorías, junto con el diseño metodológico predominante y la frecuencia de estudios que sostienen cada una, se presenta en la Tabla 5.</w:t>
      </w:r>
    </w:p>
    <w:p w14:paraId="5AEEDFDC" w14:textId="77777777" w:rsidR="00020AE8" w:rsidRDefault="00000000">
      <w:pPr>
        <w:pBdr>
          <w:top w:val="nil"/>
          <w:left w:val="nil"/>
          <w:bottom w:val="nil"/>
          <w:right w:val="nil"/>
          <w:between w:val="nil"/>
        </w:pBdr>
        <w:spacing w:line="360" w:lineRule="auto"/>
        <w:ind w:firstLine="720"/>
        <w:jc w:val="both"/>
        <w:rPr>
          <w:b/>
          <w:bCs/>
          <w:color w:val="222222"/>
        </w:rPr>
      </w:pPr>
      <w:r>
        <w:rPr>
          <w:b/>
          <w:bCs/>
          <w:color w:val="222222"/>
        </w:rPr>
        <w:t>Figura 1</w:t>
      </w:r>
    </w:p>
    <w:p w14:paraId="190EDF67" w14:textId="77777777" w:rsidR="00020AE8" w:rsidRDefault="00000000">
      <w:pPr>
        <w:spacing w:line="360" w:lineRule="auto"/>
        <w:ind w:firstLine="708"/>
        <w:jc w:val="both"/>
        <w:rPr>
          <w:i/>
          <w:iCs/>
          <w:color w:val="222222"/>
        </w:rPr>
      </w:pPr>
      <w:r>
        <w:rPr>
          <w:i/>
          <w:iCs/>
          <w:color w:val="222222"/>
        </w:rPr>
        <w:t>Diagrama de flujo del proceso de inclusión de los estudios en la revisión sistemática.</w:t>
      </w:r>
    </w:p>
    <w:p w14:paraId="6A9D3C25" w14:textId="77777777" w:rsidR="00020AE8" w:rsidRDefault="00000000">
      <w:pPr>
        <w:jc w:val="center"/>
        <w:rPr>
          <w:color w:val="222222"/>
        </w:rPr>
      </w:pPr>
      <w:r>
        <w:rPr>
          <w:noProof/>
          <w:color w:val="222222"/>
        </w:rPr>
        <w:drawing>
          <wp:inline distT="0" distB="0" distL="0" distR="0" wp14:anchorId="0DA17014" wp14:editId="05555C14">
            <wp:extent cx="5120640" cy="63353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120640" cy="6335380"/>
                    </a:xfrm>
                    <a:prstGeom prst="rect">
                      <a:avLst/>
                    </a:prstGeom>
                    <a:ln/>
                  </pic:spPr>
                </pic:pic>
              </a:graphicData>
            </a:graphic>
          </wp:inline>
        </w:drawing>
      </w:r>
    </w:p>
    <w:p w14:paraId="2D194D74" w14:textId="77777777" w:rsidR="00020AE8" w:rsidRDefault="00020AE8">
      <w:pPr>
        <w:spacing w:line="360" w:lineRule="auto"/>
        <w:jc w:val="both"/>
        <w:rPr>
          <w:color w:val="222222"/>
        </w:rPr>
      </w:pPr>
    </w:p>
    <w:p w14:paraId="3EBD3834" w14:textId="77777777" w:rsidR="00020AE8" w:rsidRDefault="00000000">
      <w:pPr>
        <w:spacing w:line="480" w:lineRule="auto"/>
        <w:jc w:val="center"/>
        <w:rPr>
          <w:b/>
          <w:bCs/>
          <w:color w:val="222222"/>
        </w:rPr>
      </w:pPr>
      <w:r>
        <w:rPr>
          <w:color w:val="222222"/>
        </w:rPr>
        <w:t xml:space="preserve">     </w:t>
      </w:r>
      <w:r>
        <w:rPr>
          <w:b/>
          <w:bCs/>
          <w:color w:val="222222"/>
        </w:rPr>
        <w:t>RESULTADOS</w:t>
      </w:r>
    </w:p>
    <w:p w14:paraId="7C21ED4B"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La presente revisión sistemática ha mantenido como objetivo analizar la evidencia empírica disponible sobre la relación entre la desregulación emocional y la VFP en población </w:t>
      </w:r>
      <w:r>
        <w:rPr>
          <w:color w:val="222222"/>
        </w:rPr>
        <w:lastRenderedPageBreak/>
        <w:t>infantil y adolescente. Al respecto, ningún estudio midió la desregulación emocional con un instrumento único y específico. En cambio, todos la midieron a través de variables relacionadas: la más usada fue la impulsividad, y después la ira -como rasgo o como reacción puntual-, la alexitimia, la baja regulación emocional, los síntomas de TDAH, los rasgos psicopáticos y el procesamiento de la información social en situaciones de conflicto. Es decir, la desregulación se dedujo a partir de sus manifestaciones, no se midió directamente.</w:t>
      </w:r>
    </w:p>
    <w:p w14:paraId="3C993E3F" w14:textId="77777777" w:rsidR="00020AE8" w:rsidRDefault="00000000">
      <w:pPr>
        <w:pBdr>
          <w:top w:val="nil"/>
          <w:left w:val="nil"/>
          <w:bottom w:val="nil"/>
          <w:right w:val="nil"/>
          <w:between w:val="nil"/>
        </w:pBdr>
        <w:spacing w:line="360" w:lineRule="auto"/>
        <w:ind w:firstLine="720"/>
        <w:jc w:val="both"/>
        <w:rPr>
          <w:color w:val="222222"/>
        </w:rPr>
      </w:pPr>
      <w:r>
        <w:rPr>
          <w:color w:val="222222"/>
        </w:rPr>
        <w:t>Con base en los dieciocho estudios analizados, la desregulación emocional es un factor de riesgo consistente para la VFP, aunque no el único ni el más importante: actúa junto con la cognición social, la crianza y la historia de adversidad de cada joven, y se expresa de forma distinta según el género y el tipo de agresión.</w:t>
      </w:r>
    </w:p>
    <w:p w14:paraId="5DF5D538" w14:textId="77777777" w:rsidR="00020AE8" w:rsidRDefault="00000000">
      <w:pPr>
        <w:pBdr>
          <w:top w:val="nil"/>
          <w:left w:val="nil"/>
          <w:bottom w:val="nil"/>
          <w:right w:val="nil"/>
          <w:between w:val="nil"/>
        </w:pBdr>
        <w:spacing w:line="360" w:lineRule="auto"/>
        <w:ind w:firstLine="720"/>
        <w:jc w:val="both"/>
        <w:rPr>
          <w:color w:val="222222"/>
        </w:rPr>
      </w:pPr>
      <w:r>
        <w:rPr>
          <w:color w:val="222222"/>
        </w:rPr>
        <w:t>Los artículos se agruparon en los siguientes temas que se describen a continuación. El primero muestra que la asociación entre desregulación y VFP aparece en casi todos los estudios, siempre combinada con otros factores. El segundo y el tercero explican cómo funciona esa asociación: la impulsividad cumple un papel que cambia según el caso, y la ira se relaciona específicamente con la VFP reactiva, junto con el procesamiento socio-cognitivo. El cuarto y el quinto sitúan esto en contexto: el componente emocional pesa más en las chicas, y la desregulación se conecta con la crianza, el trauma y la forma en que el adolescente piensa sobre lo moral. El sexto pone límites a todo lo anterior: como la mayoría de los estudios son transversales, no se puede hablar de causalidad, con la excepción de Bechtiger et al. (2026), que sí logró mantener la asociación entre el TDAH y la VFP después de controlar la agresión previa. En definitiva, no puede decirse que la desregulación emocional cause la VFP. Lo más correcto, según la evidencia disponible, es describirla como un factor de riesgo que probablemente la antecede y que aumenta su probabilidad, sin determinarla por completo (Tabla 1).</w:t>
      </w:r>
    </w:p>
    <w:p w14:paraId="3B01B97C" w14:textId="77777777" w:rsidR="00020AE8" w:rsidRDefault="00000000">
      <w:pPr>
        <w:pBdr>
          <w:top w:val="nil"/>
          <w:left w:val="nil"/>
          <w:bottom w:val="nil"/>
          <w:right w:val="nil"/>
          <w:between w:val="nil"/>
        </w:pBdr>
        <w:spacing w:line="360" w:lineRule="auto"/>
        <w:ind w:firstLine="720"/>
        <w:jc w:val="both"/>
        <w:rPr>
          <w:b/>
          <w:bCs/>
          <w:color w:val="222222"/>
        </w:rPr>
      </w:pPr>
      <w:r>
        <w:rPr>
          <w:b/>
          <w:bCs/>
          <w:color w:val="222222"/>
        </w:rPr>
        <w:t>La desregulación emocional como factor de riesgo consistente, aunque no suficiente</w:t>
      </w:r>
    </w:p>
    <w:p w14:paraId="4C35925A" w14:textId="77777777" w:rsidR="00020AE8" w:rsidRDefault="00000000">
      <w:pPr>
        <w:pBdr>
          <w:top w:val="nil"/>
          <w:left w:val="nil"/>
          <w:bottom w:val="nil"/>
          <w:right w:val="nil"/>
          <w:between w:val="nil"/>
        </w:pBdr>
        <w:spacing w:line="360" w:lineRule="auto"/>
        <w:ind w:firstLine="720"/>
        <w:jc w:val="both"/>
        <w:rPr>
          <w:color w:val="222222"/>
        </w:rPr>
      </w:pPr>
      <w:r>
        <w:rPr>
          <w:color w:val="222222"/>
        </w:rPr>
        <w:t>Este tema se basa en algo que se repite demasiado seguido como para ser casualidad: la relación entre desregulación y VFP aparece en casi todo el corpus, medida de formas distintas y en contextos distintos. Eso es lo que le da fuerza al hallazgo, más que cualquier coeficiente aislado: el mismo patrón aparece con la inestabilidad emocional en España, los síntomas de TDAH en Japón y Suiza, la alexitimia en Andalucía y la impulsividad en China. Es difícil que eso se deba solo a una medida o a una muestra en particular.</w:t>
      </w:r>
    </w:p>
    <w:p w14:paraId="3E3C6B66"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Los datos lo confirman desde varios ángulos. Al comparar grupos, los adolescentes que ejercen VFP muestran más desregulación: en el estudio chileno de Jiménez García-Escribano </w:t>
      </w:r>
      <w:r>
        <w:rPr>
          <w:color w:val="222222"/>
        </w:rPr>
        <w:lastRenderedPageBreak/>
        <w:t>(2020), la impulsividad distingue a ambos grupos con una d de Cohen de 2,53 hacia el padre y 2,70 hacia la madre (ambos p &lt; .001), y la ira con una d de 1,84 hacia la madre. En Japón, Sasaki et al. (2021) encuentran puntuaciones de TDAH más altas en el grupo con VFP (22,94 ± 12,43 frente a 14,41 ± 11,29; p &lt; .001; tamaño de efecto 0,72), y Sasaki et al. (2025) repiten el mismo patrón para la VFP que no se había detectado antes. En España, Martínez-Ferrer et al. (2018) encuentran más alexitimia en los casos de VFP alta (M = 3,38 frente a M = 2,47; F[1, 1741] = 111,742; p &lt; .001; η²p = .060).</w:t>
      </w:r>
    </w:p>
    <w:p w14:paraId="2EF106B1"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 cuanto a correlaciones y predicciones, la impulsividad se relaciona con la VFP en Jiménez García-Escribano (2020) (r = .30 hacia el padre, r = .32 hacia la madre; p &lt; .001), y con coeficientes más altos en Del Hoyo-Bilbao et al. (2020) (correlaciones de orden cero de .58 y .57). Algo parecido pasa con el procesamiento socio-cognitivo en Asia: Chou et al. (2025) encuentran que la "respuesta agresiva" se asocia con la agresión psicológica (OR = 3,46; IC 95% 1,53–7,86; p = .003) y con el control o dominación (OR = 4,07; IC 95% 1,74–9,56; p = .001; este valor hay que tomarlo con cuidado, porque la tabla original repite el mismo coeficiente para dos predictores distintos, lo que parece un error de imprenta).</w:t>
      </w:r>
    </w:p>
    <w:p w14:paraId="6F9A7795" w14:textId="77777777" w:rsidR="00020AE8" w:rsidRDefault="00000000">
      <w:pPr>
        <w:pBdr>
          <w:top w:val="nil"/>
          <w:left w:val="nil"/>
          <w:bottom w:val="nil"/>
          <w:right w:val="nil"/>
          <w:between w:val="nil"/>
        </w:pBdr>
        <w:spacing w:line="360" w:lineRule="auto"/>
        <w:ind w:firstLine="720"/>
        <w:jc w:val="both"/>
        <w:rPr>
          <w:color w:val="222222"/>
        </w:rPr>
      </w:pPr>
      <w:r>
        <w:rPr>
          <w:color w:val="222222"/>
        </w:rPr>
        <w:t>Pero en ningún estudio la desregulación aparece como la única causa. Siempre forma parte de un conjunto más amplio de factores, junto con —no en lugar de— la familia y el contexto. En Del Hoyo-Bilbao et al. (2020), la impulsividad comparte el primer lugar entre los predictores junto con el abuso de sustancias; en Sasaki et al. (2021), la OR ajustada del TDAH (1,03; IC 95% 1,01–1,06) aparece junto a la de la conducta antisocial (3,27) y la de antecedentes de abuso (2,64); y en la cohorte suiza de Bechtiger et al. (2026), las asociaciones del TDAH se dan junto con la crianza dura, el desacuerdo entre los padres y la victimización grave. La desregulación, entonces, es un factor de riesgo importante, pero no el que decide todo.</w:t>
      </w:r>
    </w:p>
    <w:p w14:paraId="13EA93AE" w14:textId="77777777" w:rsidR="00020AE8" w:rsidRDefault="00000000">
      <w:pPr>
        <w:pBdr>
          <w:top w:val="nil"/>
          <w:left w:val="nil"/>
          <w:bottom w:val="nil"/>
          <w:right w:val="nil"/>
          <w:between w:val="nil"/>
        </w:pBdr>
        <w:spacing w:line="360" w:lineRule="auto"/>
        <w:ind w:firstLine="720"/>
        <w:jc w:val="both"/>
        <w:rPr>
          <w:color w:val="222222"/>
        </w:rPr>
      </w:pPr>
      <w:r>
        <w:rPr>
          <w:color w:val="222222"/>
        </w:rPr>
        <w:t>Este es uno de los temas mejor sustentados de toda la revisión: lo respalda la cantidad de estudios que llegan a lo mismo, y el hecho de que cuatro de los cinco estudios de riesgo bajo del corpus (Bechtiger et al., 2026., Del Hoyo-Bilbao et al. 2020, Martínez-Ferrer et al. 2018) y Gao et al. 2026) lo apoyan. La duda no está en si existe la asociación, que está bien comprobada, sino en cómo interpretarla en términos de causa, algo que se retoma en el Tema 6.</w:t>
      </w:r>
    </w:p>
    <w:p w14:paraId="29303A20" w14:textId="77777777" w:rsidR="00020AE8" w:rsidRDefault="00000000">
      <w:pPr>
        <w:pBdr>
          <w:top w:val="nil"/>
          <w:left w:val="nil"/>
          <w:bottom w:val="nil"/>
          <w:right w:val="nil"/>
          <w:between w:val="nil"/>
        </w:pBdr>
        <w:spacing w:line="360" w:lineRule="auto"/>
        <w:ind w:firstLine="720"/>
        <w:jc w:val="both"/>
        <w:rPr>
          <w:b/>
          <w:bCs/>
          <w:color w:val="222222"/>
        </w:rPr>
      </w:pPr>
      <w:r>
        <w:rPr>
          <w:b/>
          <w:bCs/>
          <w:color w:val="222222"/>
        </w:rPr>
        <w:t>La impulsividad como núcleo proximal, de papel variable</w:t>
      </w:r>
    </w:p>
    <w:p w14:paraId="3A32B524" w14:textId="77777777" w:rsidR="00020AE8" w:rsidRDefault="00000000">
      <w:pPr>
        <w:pBdr>
          <w:top w:val="nil"/>
          <w:left w:val="nil"/>
          <w:bottom w:val="nil"/>
          <w:right w:val="nil"/>
          <w:between w:val="nil"/>
        </w:pBdr>
        <w:spacing w:line="360" w:lineRule="auto"/>
        <w:ind w:firstLine="720"/>
        <w:jc w:val="both"/>
        <w:rPr>
          <w:color w:val="222222"/>
        </w:rPr>
      </w:pPr>
      <w:r>
        <w:rPr>
          <w:color w:val="222222"/>
        </w:rPr>
        <w:t>Si la desregulación casi siempre se mide indirectamente, la impulsividad es la medida más usada y la más cercana a la conducta agresiva. Por eso merece un tema propio. Pero los datos muestran que no cumple siempre la misma función, y es justamente esa variación lo interesante.</w:t>
      </w:r>
    </w:p>
    <w:p w14:paraId="465C05E9" w14:textId="77777777" w:rsidR="00020AE8" w:rsidRDefault="00000000">
      <w:pPr>
        <w:pBdr>
          <w:top w:val="nil"/>
          <w:left w:val="nil"/>
          <w:bottom w:val="nil"/>
          <w:right w:val="nil"/>
          <w:between w:val="nil"/>
        </w:pBdr>
        <w:spacing w:line="360" w:lineRule="auto"/>
        <w:ind w:firstLine="720"/>
        <w:jc w:val="both"/>
        <w:rPr>
          <w:color w:val="222222"/>
        </w:rPr>
      </w:pPr>
      <w:r>
        <w:rPr>
          <w:color w:val="222222"/>
        </w:rPr>
        <w:lastRenderedPageBreak/>
        <w:t>En algunos estudios funciona como predictor directo y fuerte: en Del Hoyo-Bilbao et al. (2020) es, junto con el abuso de sustancias, uno de los dos predictores más fuertes (β = .33 hacia la madre, β = .27 hacia el padre; p &lt; .001); en Jiménez García-Escribano (2020) su efecto es más chico pero significativo (β = .073 hacia el padre, p &lt; .05; β = .102 hacia la madre, p &lt; .01); y en los estudios japoneses se mantiene como predictor independiente incluso después de ajustar por otras variables (Sasaki et al., 2021: OR ajustada = 1,03; Sasaki et al., 2025: OR = 1,07; IC 95% 1,03–1,11; p &lt; .01). En otros casos su efecto no es directo sino que modera otra relación: en el estudio chino de Gao et al. (2026), la impulsividad modera el efecto de la disciplina severa sobre la VFP (interacción b = 0,13; p &lt; .001); algo similar, pero con rasgos de personalidad, encuentra Jiménez-Granado et al. (2023).</w:t>
      </w:r>
    </w:p>
    <w:p w14:paraId="535BA1B2" w14:textId="77777777" w:rsidR="00020AE8" w:rsidRDefault="00000000">
      <w:pPr>
        <w:pBdr>
          <w:top w:val="nil"/>
          <w:left w:val="nil"/>
          <w:bottom w:val="nil"/>
          <w:right w:val="nil"/>
          <w:between w:val="nil"/>
        </w:pBdr>
        <w:spacing w:line="360" w:lineRule="auto"/>
        <w:ind w:firstLine="720"/>
        <w:jc w:val="both"/>
        <w:rPr>
          <w:color w:val="222222"/>
        </w:rPr>
      </w:pPr>
      <w:r>
        <w:rPr>
          <w:color w:val="222222"/>
        </w:rPr>
        <w:t>El dato más interesante viene de las muestras forenses más graves, donde la impulsividad deja de servir para distinguir entre grupos, justamente porque está presente en todos por igual. Loinaz y de Sousa (2020) encuentran que otros factores sí diferencian los casos judiciales de los clínicos, el manejo de la ira (82,8% frente a 47,5%; OR = 5,297), la baja tolerancia a la frustración (OR = 4,216) o el narcisismo (OR = 10,800)—, pero la impulsividad no cambia entre grupos (83,3% frente a 70,5%; p = .185). Loinaz et al. (2020) confirman que es igualmente alta en ambos sexos (76,8% en chicos frente a 71,4% en chicas; p = .567), lo que sugiere que la impulsividad funciona más como un rasgo de base que como un indicador de gravedad.</w:t>
      </w:r>
    </w:p>
    <w:p w14:paraId="7D5712A3"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impulsividad parece ser, entonces, necesaria pero no suficiente para explicar qué tan grave es un caso. La confianza en este tema no es uniforme: las lecturas longitudinal y moderadora vienen de estudios de riesgo bajo (Bechtiger et al., 2026, y Gao et al., 2026), mientras que el hallazgo sobre las muestras forenses se apoya en parte en Loinaz et al. (2020), el único estudio de riesgo alto de todo el corpus. Por eso conviene tomarlo como una hipótesis razonable, no como un hallazgo ya confirmado.</w:t>
      </w:r>
    </w:p>
    <w:p w14:paraId="1072E36A" w14:textId="77777777" w:rsidR="00020AE8" w:rsidRDefault="00000000">
      <w:pPr>
        <w:pBdr>
          <w:top w:val="nil"/>
          <w:left w:val="nil"/>
          <w:bottom w:val="nil"/>
          <w:right w:val="nil"/>
          <w:between w:val="nil"/>
        </w:pBdr>
        <w:spacing w:line="360" w:lineRule="auto"/>
        <w:ind w:firstLine="720"/>
        <w:jc w:val="both"/>
        <w:rPr>
          <w:b/>
          <w:bCs/>
          <w:color w:val="222222"/>
        </w:rPr>
      </w:pPr>
      <w:r>
        <w:rPr>
          <w:b/>
          <w:bCs/>
          <w:color w:val="222222"/>
        </w:rPr>
        <w:t>La ira y la activación emocional reactiva: especificidad con la VFP reactiva</w:t>
      </w:r>
    </w:p>
    <w:p w14:paraId="228B1813" w14:textId="77777777" w:rsidR="00020AE8" w:rsidRDefault="00000000">
      <w:pPr>
        <w:pBdr>
          <w:top w:val="nil"/>
          <w:left w:val="nil"/>
          <w:bottom w:val="nil"/>
          <w:right w:val="nil"/>
          <w:between w:val="nil"/>
        </w:pBdr>
        <w:spacing w:line="360" w:lineRule="auto"/>
        <w:ind w:firstLine="720"/>
        <w:jc w:val="both"/>
        <w:rPr>
          <w:color w:val="222222"/>
        </w:rPr>
      </w:pPr>
      <w:sdt>
        <w:sdtPr>
          <w:tag w:val="goog_rdk_0"/>
          <w:id w:val="-183379866"/>
        </w:sdtPr>
        <w:sdtContent>
          <w:r>
            <w:rPr>
              <w:rFonts w:ascii="Cardo" w:eastAsia="Cardo" w:hAnsi="Cardo" w:cs="Cardo"/>
              <w:color w:val="222222"/>
            </w:rPr>
            <w:t xml:space="preserve">Este tema parte de algo más específico que una simple asociación: la ira no se relaciona con la VFP en general, sino con su forma reactiva, no con la instrumental. Cano-Lozano et al. (2020) muestran que la ira predice la VFP reactiva hacia ambos padres (β = .384 hacia el padre, β = .388 hacia la madre; p &lt; .001), pero no la instrumental. Cano-Lozano et al. (2023) llegan a lo mismo desde el procesamiento socio-cognitivo, y Navas-Martínez y Cano-Lozano (2023) lo confirman desde la regulación emocional (β = −0,24 </w:t>
          </w:r>
          <w:r>
            <w:rPr>
              <w:rFonts w:ascii="Cardo" w:eastAsia="Cardo" w:hAnsi="Cardo" w:cs="Cardo"/>
              <w:color w:val="222222"/>
            </w:rPr>
            <w:lastRenderedPageBreak/>
            <w:t>hacia la madre, β = −0,27 hacia el padre, en agresores especialistas). Cortina y Martín (2020) muestran el extremo más concreto: la ira hacia la madre predice específicamente que el adolescente le pegue, multiplicando esa probabilidad por 1,48 (OR = 1,479; IC 95% 1,035–2,113; p = .031).</w:t>
          </w:r>
        </w:sdtContent>
      </w:sdt>
    </w:p>
    <w:p w14:paraId="4D275E14" w14:textId="77777777" w:rsidR="00020AE8" w:rsidRDefault="00000000">
      <w:pPr>
        <w:pBdr>
          <w:top w:val="nil"/>
          <w:left w:val="nil"/>
          <w:bottom w:val="nil"/>
          <w:right w:val="nil"/>
          <w:between w:val="nil"/>
        </w:pBdr>
        <w:spacing w:line="360" w:lineRule="auto"/>
        <w:ind w:firstLine="720"/>
        <w:jc w:val="both"/>
        <w:rPr>
          <w:color w:val="222222"/>
        </w:rPr>
      </w:pPr>
      <w:r>
        <w:rPr>
          <w:color w:val="222222"/>
        </w:rPr>
        <w:t>Hay un dato que parece contradecir esto, pero en realidad lo enriquece: en Jiménez García-Escribano (2020) la ira correlaciona con la VFP (r = .27 hacia el padre, r = .34 hacia la madre; p &lt; .001), pero pierde fuerza en el modelo de regresión, donde el "acceso a la respuesta agresiva" toma protagonismo (β hasta .393). Esto sugiere que la ira actúa a través de cómo el adolescente interpreta la situación: la ira prende la mecha, pero es la lectura hostil de lo que pasa la que termina llevando al acto violento.</w:t>
      </w:r>
    </w:p>
    <w:p w14:paraId="7A51028C"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confianza en este tema es alta: la diferencia entre VFP reactiva e instrumental se repite en varios equipos de investigación, sobre todo en el grupo de Cano-Lozano, usando formas distintas de medir tanto la ira como la VFP. Todos los estudios que apoyan este tema son de riesgo moderado, pero como coinciden tantos, eso compensa esa debilidad.</w:t>
      </w:r>
    </w:p>
    <w:p w14:paraId="10DBBA89" w14:textId="77777777" w:rsidR="00020AE8" w:rsidRDefault="00000000">
      <w:pPr>
        <w:pBdr>
          <w:top w:val="nil"/>
          <w:left w:val="nil"/>
          <w:bottom w:val="nil"/>
          <w:right w:val="nil"/>
          <w:between w:val="nil"/>
        </w:pBdr>
        <w:spacing w:line="360" w:lineRule="auto"/>
        <w:ind w:firstLine="720"/>
        <w:jc w:val="both"/>
        <w:rPr>
          <w:b/>
          <w:bCs/>
          <w:color w:val="222222"/>
        </w:rPr>
      </w:pPr>
      <w:r>
        <w:rPr>
          <w:b/>
          <w:bCs/>
          <w:color w:val="222222"/>
        </w:rPr>
        <w:t>La modulación por el género: una vía emocional más marcada en las mujeres</w:t>
      </w:r>
    </w:p>
    <w:p w14:paraId="588FCF0B" w14:textId="77777777" w:rsidR="00020AE8" w:rsidRDefault="00000000">
      <w:pPr>
        <w:pBdr>
          <w:top w:val="nil"/>
          <w:left w:val="nil"/>
          <w:bottom w:val="nil"/>
          <w:right w:val="nil"/>
          <w:between w:val="nil"/>
        </w:pBdr>
        <w:spacing w:line="360" w:lineRule="auto"/>
        <w:ind w:firstLine="720"/>
        <w:jc w:val="both"/>
        <w:rPr>
          <w:color w:val="222222"/>
        </w:rPr>
      </w:pPr>
      <w:r>
        <w:rPr>
          <w:color w:val="222222"/>
        </w:rPr>
        <w:t>Este tema surge de algo que nadie buscó a propósito: las variables emocionales pesan más en las chicas, mientras que en los chicos predomina más la conducta violenta en sí y el consumo de sustancias. Martínez-Ferrer et al. (2018) encuentran una interacción significativa entre VFP, género y alexitimia (F[3, 1739] = 63,650; p &lt; .001; η²p = .099): entre los adolescentes con VFP alta, las chicas tienen más dificultad para identificar sus emociones (M = 3,73) que los chicos (M = 2,97). Del Hoyo-Bilbao et al. (2020), Navas-Martínez y Cano-Lozano (2023) y Cano-Lozano et al. (2023) encuentran resultados parecidos con otras variables emocionales.</w:t>
      </w:r>
    </w:p>
    <w:p w14:paraId="2006B875" w14:textId="77777777" w:rsidR="00020AE8" w:rsidRDefault="00000000">
      <w:pPr>
        <w:pBdr>
          <w:top w:val="nil"/>
          <w:left w:val="nil"/>
          <w:bottom w:val="nil"/>
          <w:right w:val="nil"/>
          <w:between w:val="nil"/>
        </w:pBdr>
        <w:spacing w:line="360" w:lineRule="auto"/>
        <w:ind w:firstLine="720"/>
        <w:jc w:val="both"/>
        <w:rPr>
          <w:color w:val="222222"/>
        </w:rPr>
      </w:pPr>
      <w:r>
        <w:rPr>
          <w:color w:val="222222"/>
        </w:rPr>
        <w:t>Pero el patrón no se repite siempre: Cortina y Martín (2020) no encuentran diferencias por género, y Loinaz et al. (2020) tampoco las encuentran en los proxies de desregulación, aunque sí ven diferencias en el contexto familiar y en la forma de la conducta. Esto sugiere que el género no cambiaría tanto el nivel de desregulación, sino la forma en que esta se expresa.</w:t>
      </w:r>
    </w:p>
    <w:p w14:paraId="3CDF23B7" w14:textId="77777777" w:rsidR="00020AE8" w:rsidRDefault="00000000">
      <w:pPr>
        <w:pBdr>
          <w:top w:val="nil"/>
          <w:left w:val="nil"/>
          <w:bottom w:val="nil"/>
          <w:right w:val="nil"/>
          <w:between w:val="nil"/>
        </w:pBdr>
        <w:spacing w:line="360" w:lineRule="auto"/>
        <w:ind w:firstLine="720"/>
        <w:jc w:val="both"/>
        <w:rPr>
          <w:color w:val="222222"/>
        </w:rPr>
      </w:pPr>
      <w:r>
        <w:rPr>
          <w:color w:val="222222"/>
        </w:rPr>
        <w:t>Hay que ser cuidadosos con este tema: lo sostienen cuatro estudios, dos de ellos de riesgo bajo (Martínez-Ferrer et al., 2018, y Del Hoyo-Bilbao et al., 2020), pero las excepciones que aparecen aconsejan presentarlo como una tendencia con excepciones, no como una diferencia ya comprobada.</w:t>
      </w:r>
    </w:p>
    <w:p w14:paraId="5769FAB2" w14:textId="77777777" w:rsidR="00020AE8" w:rsidRDefault="00000000">
      <w:pPr>
        <w:pBdr>
          <w:top w:val="nil"/>
          <w:left w:val="nil"/>
          <w:bottom w:val="nil"/>
          <w:right w:val="nil"/>
          <w:between w:val="nil"/>
        </w:pBdr>
        <w:spacing w:line="360" w:lineRule="auto"/>
        <w:ind w:firstLine="720"/>
        <w:jc w:val="both"/>
        <w:rPr>
          <w:b/>
          <w:bCs/>
          <w:color w:val="222222"/>
        </w:rPr>
      </w:pPr>
      <w:r>
        <w:rPr>
          <w:b/>
          <w:bCs/>
          <w:color w:val="222222"/>
        </w:rPr>
        <w:t>La desregulación inserta en cadenas multifactoriales: parentalidad, trauma y cognición</w:t>
      </w:r>
    </w:p>
    <w:p w14:paraId="17C368FD" w14:textId="77777777" w:rsidR="00020AE8" w:rsidRDefault="00000000">
      <w:pPr>
        <w:pBdr>
          <w:top w:val="nil"/>
          <w:left w:val="nil"/>
          <w:bottom w:val="nil"/>
          <w:right w:val="nil"/>
          <w:between w:val="nil"/>
        </w:pBdr>
        <w:spacing w:line="360" w:lineRule="auto"/>
        <w:ind w:firstLine="720"/>
        <w:jc w:val="both"/>
        <w:rPr>
          <w:color w:val="222222"/>
        </w:rPr>
      </w:pPr>
      <w:r>
        <w:rPr>
          <w:color w:val="222222"/>
        </w:rPr>
        <w:lastRenderedPageBreak/>
        <w:t>Este tema busca responder con qué se conecta la desregulación. Aparecen tres conexiones que se repiten. La primera tiene que ver con la crianza: Martínez-Ferrer et al. (2018) muestran que la alexitimia interactúa con los estilos de los padres (F[7, 1735] = 19,632; p &lt; .001; η²p = .073); Cano-Lozano et al. (2020) y Gao et al. (2026) encuentran mecanismos parecidos; y Jiménez-Granado et al. (2023) muestran que ignorar el mal comportamiento del hijo predice la VFP solo si el adolescente tiene rasgos fríos e insensibles altos (β = .217 hacia el padre, β = .271 hacia la madre; p &lt; .001).</w:t>
      </w:r>
    </w:p>
    <w:p w14:paraId="3E9F8215"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segunda conexión tiene que ver con haber sido víctima de violencia: Cano-Lozano et al. (2023) encuentran que la victimización directa en el hogar predice problemas en el procesamiento social, como la ira (β = .303) o el acceso a la respuesta agresiva (β = .377), todos con p &lt; .001, que a su vez se relacionan con la VFP. Contreras y Cano (2016) agregan un matiz importante: en el grupo con VFP no encuentran esa relación entre haber sido víctima de violencia y la impulsividad, que solo aparece en el grupo de otros infractores (r = .45; p &lt; .05).</w:t>
      </w:r>
    </w:p>
    <w:p w14:paraId="084E471C"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tercera conexión tiene que ver con la moral: en Gao et al. (2026), la impulsividad modera el efecto de la desconexión moral sobre la VFP (b = 0,07; p &lt; .001): el efecto indirecto es mayor en los adolescentes más impulsivos (de b = 0,010 a b = 0,060). Los estudios cualitativos de Papamichail y Bates (2022) y Baker et al. (2025) muestran cómo se vive esto en la práctica: la desregulación como sentir que se pierde el control de la propia conducta, y como el puente entre el trauma vivido y la violencia.</w:t>
      </w:r>
    </w:p>
    <w:p w14:paraId="3E0AAABB"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confianza en este tema es matizada: tres de los estudios que lo apoyan son de riesgo bajo, pero la mayoría de estas relaciones vienen de estudios transversales, que no permiten hablar de causalidad. Solo el estudio longitudinal de Bechtiger et al. (2026) logra sostener una relación específica (la del TDAH) después de controlar la agresión previa.</w:t>
      </w:r>
    </w:p>
    <w:p w14:paraId="3A448C32" w14:textId="77777777" w:rsidR="00020AE8" w:rsidRDefault="00000000">
      <w:pPr>
        <w:pBdr>
          <w:top w:val="nil"/>
          <w:left w:val="nil"/>
          <w:bottom w:val="nil"/>
          <w:right w:val="nil"/>
          <w:between w:val="nil"/>
        </w:pBdr>
        <w:spacing w:line="360" w:lineRule="auto"/>
        <w:ind w:firstLine="720"/>
        <w:jc w:val="both"/>
        <w:rPr>
          <w:b/>
          <w:bCs/>
          <w:color w:val="222222"/>
        </w:rPr>
      </w:pPr>
      <w:r>
        <w:rPr>
          <w:b/>
          <w:bCs/>
          <w:color w:val="222222"/>
        </w:rPr>
        <w:t>Alcances y límites de la evidencia</w:t>
      </w:r>
    </w:p>
    <w:p w14:paraId="72C31FD8"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Este último tema no describe un hallazgo más, sino que marca los límites de todo lo anterior, y se basa en tres limitaciones que se repiten en casi todos los estudios. La primera tiene que ver con el diseño: la mayoría de los estudios son transversales y se basan en lo que el propio adolescente cuenta, lo que impide hablar de causalidad. Esto lo reconocen explícitamente Sasaki et al. (2021), Chou et al. (2025), Gao et al. (2026), Martínez-Ferrer et al. (2018) y Navas-Martínez y Cano-Lozano (2023). A esto se suma que, cuando la misma persona responde sobre la desregulación y sobre la VFP, los resultados pueden estar algo inflados solo por eso. La segunda limitación es que cada estudio midió la desregulación de una manera distinta, como ya se explicó. La tercera tiene que ver con la calidad metodológica general, que en la mayoría de </w:t>
      </w:r>
      <w:r>
        <w:rPr>
          <w:color w:val="222222"/>
        </w:rPr>
        <w:lastRenderedPageBreak/>
        <w:t>los casos es moderada (doce de dieciocho estudios), con un solo estudio de riesgo alto (Loinaz et al., 2020) y cinco de riesgo bajo.</w:t>
      </w:r>
    </w:p>
    <w:p w14:paraId="42A99ED3"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Entre estos últimos se destaca Bechtiger et al. (2026): la única cohorte poblacional con seguimiento del corpus, con ocho de nueve estrellas en la Newcastle-Ottawa Scale. Su aporte es clave porque logra mantener la relación entre el TDAH y la VFP acumulada (OR = 1,25; IC 95% 1,09–1,44) incluso después de controlar la agresión previa en la infancia, siendo el único caso donde queda claro qué pasó primero. El resto de los estudios sólo permite afirmar que existe una asociación robusta, pero no en qué dirección va la causa (ver Tabla 4).</w:t>
      </w:r>
    </w:p>
    <w:p w14:paraId="003EDA26" w14:textId="77777777" w:rsidR="00020AE8" w:rsidRDefault="00000000">
      <w:pPr>
        <w:pBdr>
          <w:top w:val="nil"/>
          <w:left w:val="nil"/>
          <w:bottom w:val="nil"/>
          <w:right w:val="nil"/>
          <w:between w:val="nil"/>
        </w:pBdr>
        <w:spacing w:line="360" w:lineRule="auto"/>
        <w:ind w:firstLine="720"/>
        <w:jc w:val="both"/>
        <w:rPr>
          <w:color w:val="222222"/>
        </w:rPr>
      </w:pPr>
      <w:r>
        <w:rPr>
          <w:color w:val="222222"/>
        </w:rPr>
        <w:t>De los 18 estudios incluidos en la revisión, todos corresponden a investigaciones empíricas. En cuanto al diseño, la mayoría son estudios transversales, ya sea correlacionales o comparativos (Jiménez García-Escribano, 2020; Cano-Lozano et al., 2020; Chou et al., 2025; Cano-Lozano et al., 2023; Cortina y Martín, 2020; Del Hoyo-Bilbao et al., 2020; Martínez-Ferrer et al., 2018; Contreras y Cano, 2016; Gao et al., 2026; Navas-Martínez y Cano-Lozano, 2023; Loinaz et al., 2020; Loinaz y de Sousa, 2020). Después siguen dos estudios de caso-control retrospectivo (Sasaki et al., 2021, 2025), dos longitudinales (Jiménez-Granado et al., 2023; Bechtiger et al., 2026) y dos cualitativos con análisis temático (Papamichail y Bates, 2022; Baker et al., 2025).</w:t>
      </w:r>
    </w:p>
    <w:p w14:paraId="0643A0F3"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Las muestras van de 8 personas, en el estudio cualitativo de Papamichail y Bates (2022), a 2.399 adolescentes, en el de Martínez-Ferrer et al. (2018). Las edades están casi siempre entre los 11 y los 20 años, salvo en la muestra de adultos jóvenes de Jiménez García-Escribano (2020) y en la muestra forense de Loinaz et al. (2020) y Loinaz y de Sousa (2020), donde llegan hasta los 28. La mayoría de las poblaciones son comunitarias o escolares (por ejemplo, Cano-Lozano et al., 2020; Martínez-Ferrer et al., 2018; Gao et al., 2026; Navas-Martínez y Cano-Lozano, 2023), aunque también hay muestras clínicas (Sasaki et al., 2021, 2025; Chou et al., 2025), judiciales o forenses (Cano-Lozano et al., 2023; Loinaz et al., 2020; Loinaz y de Sousa, 2020) y mixtas (Del Hoyo-Bilbao et al., 2020; Contreras y Cano, 2016; Baker et al., 2025), además de una cohorte poblacional con seguimiento (Bechtiger et al., 2026).</w:t>
      </w:r>
    </w:p>
    <w:p w14:paraId="6B824625"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desregulación emocional siempre se midió de forma indirecta, nunca como un único constructo. Las medidas más usadas fueron la impulsividad, con el AECS (Jiménez García-Escribano, 2020; Cano-Lozano et al., 2023; Contreras y Cano, 2016), el YPI-S (Jiménez-Granado et al., 2023; Del Hoyo-Bilbao et al., 2020) o el BIS-Brief (Gao et al., 2026); y la ira, con el SIP (Jiménez García-Escribano, 2020; Cano-Lozano et al., 2020, 2023), el STAXI-2 (Del Hoyo-Bilbao et al., 2020) o el IPPA-R (Cortina y Martín, 2020). También se usaron la alexitimia con el TAS-20 (Martínez-Ferrer et al., 2018), los síntomas de TDAH con el ADHD-</w:t>
      </w:r>
      <w:r>
        <w:rPr>
          <w:color w:val="222222"/>
        </w:rPr>
        <w:lastRenderedPageBreak/>
        <w:t>RS (Sasaki et al., 2021, 2025; Bechtiger et al., 2026), la regulación emocional con el WLEIS (Navas-Martínez y Cano-Lozano, 2023) y la inestabilidad emocional con el BFQ-CA (Del Hoyo-Bilbao et al., 2020). En las muestras forenses de Loinaz et al. (2020) y Loinaz y de Sousa (2020), estos factores se evaluaron mediante juicio profesional con la guía CPVR/RVFP, y en los estudios cualitativos de Papamichail y Bates (2022) y Baker et al. (2025) la desregulación surgió como tema a partir de lo que contaron los propios participantes.</w:t>
      </w:r>
    </w:p>
    <w:p w14:paraId="7FC9E6AB"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VFP se midió sobre todo con el Child-to-Parent Violence Questionnaire (CPV-Q) y sus adaptaciones (Cano-Lozano et al., 2020, 2023; Chou et al., 2025; Gao et al., 2026; Navas-Martínez y Cano-Lozano, 2023), el C-VIFIP (Jiménez García-Escribano, 2020), el CPAQ y su versión revisada, el CPAQ-R (Del Hoyo-Bilbao et al., 2020; Jiménez-Granado et al., 2023), y una adaptación de la CTS2 (Martínez-Ferrer et al., 2018). En los estudios forenses, la propia inclusión en la muestra ya implicaba haber ejercido VFP (Loinaz et al., 2020; Loinaz y de Sousa, 2020), o se determinó por una causa judicial (Contreras y Cano, 2016) o por el criterio del psiquiatra tratante (Sasaki et al., 2021). En los estudios cualitativos se exploró con entrevistas en profundidad (Papamichail y Bates, 2022; Baker et al., 2025), y en la cohorte de Bechtiger et al. (2026) se midió con dos preguntas autoinformadas (PYPA) (Tabla 2)</w:t>
      </w:r>
    </w:p>
    <w:p w14:paraId="7FA33776" w14:textId="77777777" w:rsidR="00020AE8" w:rsidRDefault="00020AE8">
      <w:pPr>
        <w:spacing w:line="360" w:lineRule="auto"/>
        <w:jc w:val="both"/>
        <w:rPr>
          <w:b/>
          <w:bCs/>
          <w:color w:val="222222"/>
          <w:highlight w:val="white"/>
        </w:rPr>
      </w:pPr>
    </w:p>
    <w:p w14:paraId="3393A81F" w14:textId="77777777" w:rsidR="00020AE8" w:rsidRDefault="00000000">
      <w:pPr>
        <w:spacing w:line="360" w:lineRule="auto"/>
        <w:jc w:val="both"/>
        <w:rPr>
          <w:b/>
          <w:bCs/>
          <w:color w:val="222222"/>
          <w:highlight w:val="white"/>
        </w:rPr>
      </w:pPr>
      <w:r>
        <w:rPr>
          <w:b/>
          <w:bCs/>
          <w:color w:val="222222"/>
          <w:highlight w:val="white"/>
        </w:rPr>
        <w:t>Tabla 1</w:t>
      </w:r>
    </w:p>
    <w:p w14:paraId="42A589A6" w14:textId="77777777" w:rsidR="00020AE8" w:rsidRDefault="00000000">
      <w:pPr>
        <w:spacing w:after="160" w:line="360" w:lineRule="auto"/>
        <w:jc w:val="both"/>
        <w:rPr>
          <w:i/>
          <w:iCs/>
          <w:color w:val="222222"/>
          <w:highlight w:val="white"/>
        </w:rPr>
      </w:pPr>
      <w:r>
        <w:rPr>
          <w:i/>
          <w:iCs/>
          <w:color w:val="222222"/>
          <w:highlight w:val="white"/>
        </w:rPr>
        <w:t>Resultados de las unidades de análisis (N = 18)</w:t>
      </w:r>
    </w:p>
    <w:tbl>
      <w:tblPr>
        <w:tblStyle w:val="a"/>
        <w:tblW w:w="9765" w:type="dxa"/>
        <w:tblInd w:w="-5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445"/>
        <w:gridCol w:w="1230"/>
        <w:gridCol w:w="1125"/>
        <w:gridCol w:w="4965"/>
      </w:tblGrid>
      <w:tr w:rsidR="00020AE8" w14:paraId="2B1202F8" w14:textId="77777777">
        <w:trPr>
          <w:trHeight w:val="390"/>
        </w:trPr>
        <w:tc>
          <w:tcPr>
            <w:tcW w:w="2445" w:type="dxa"/>
            <w:tcBorders>
              <w:top w:val="single" w:sz="8" w:space="0" w:color="FFFFFF"/>
              <w:left w:val="single" w:sz="8" w:space="0" w:color="FFFFFF"/>
              <w:bottom w:val="single" w:sz="8" w:space="0" w:color="000000"/>
              <w:right w:val="single" w:sz="8" w:space="0" w:color="FFFFFF"/>
            </w:tcBorders>
            <w:tcMar>
              <w:top w:w="80" w:type="dxa"/>
              <w:left w:w="100" w:type="dxa"/>
              <w:bottom w:w="80" w:type="dxa"/>
              <w:right w:w="100" w:type="dxa"/>
            </w:tcMar>
            <w:vAlign w:val="bottom"/>
          </w:tcPr>
          <w:p w14:paraId="639E7DB8"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Estudio</w:t>
            </w:r>
          </w:p>
        </w:tc>
        <w:tc>
          <w:tcPr>
            <w:tcW w:w="1230"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5249E292"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País</w:t>
            </w:r>
          </w:p>
        </w:tc>
        <w:tc>
          <w:tcPr>
            <w:tcW w:w="1125"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7785D600"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Idioma</w:t>
            </w:r>
          </w:p>
        </w:tc>
        <w:tc>
          <w:tcPr>
            <w:tcW w:w="4965"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646FAB78"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Hallazgos: relación desregulación-VFP</w:t>
            </w:r>
          </w:p>
        </w:tc>
      </w:tr>
      <w:tr w:rsidR="00020AE8" w14:paraId="31DF0541" w14:textId="77777777">
        <w:trPr>
          <w:trHeight w:val="1320"/>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6D08BEE8" w14:textId="77777777" w:rsidR="00020AE8" w:rsidRDefault="00000000">
            <w:pPr>
              <w:spacing w:after="40" w:line="223" w:lineRule="auto"/>
              <w:jc w:val="both"/>
              <w:rPr>
                <w:color w:val="222222"/>
                <w:sz w:val="20"/>
                <w:szCs w:val="20"/>
                <w:highlight w:val="white"/>
              </w:rPr>
            </w:pPr>
            <w:r>
              <w:rPr>
                <w:color w:val="222222"/>
                <w:sz w:val="20"/>
                <w:szCs w:val="20"/>
                <w:highlight w:val="white"/>
              </w:rPr>
              <w:t>Jiménez García-Escribano (2020)</w:t>
            </w:r>
          </w:p>
          <w:p w14:paraId="0390A9D2" w14:textId="77777777" w:rsidR="00020AE8" w:rsidRDefault="00000000">
            <w:pPr>
              <w:spacing w:line="223" w:lineRule="auto"/>
              <w:jc w:val="both"/>
              <w:rPr>
                <w:i/>
                <w:iCs/>
                <w:color w:val="222222"/>
                <w:sz w:val="20"/>
                <w:szCs w:val="20"/>
                <w:highlight w:val="white"/>
              </w:rPr>
            </w:pPr>
            <w:r>
              <w:rPr>
                <w:i/>
                <w:iCs/>
                <w:color w:val="222222"/>
                <w:sz w:val="20"/>
                <w:szCs w:val="20"/>
                <w:highlight w:val="white"/>
              </w:rPr>
              <w:t>Análisis de la violencia filio-parental: prevalencia y claves en el estudio del fenómeno</w:t>
            </w:r>
          </w:p>
        </w:tc>
        <w:tc>
          <w:tcPr>
            <w:tcW w:w="1230" w:type="dxa"/>
            <w:tcBorders>
              <w:bottom w:val="single" w:sz="8" w:space="0" w:color="FFFFFF"/>
              <w:right w:val="single" w:sz="8" w:space="0" w:color="FFFFFF"/>
            </w:tcBorders>
            <w:tcMar>
              <w:top w:w="80" w:type="dxa"/>
              <w:left w:w="100" w:type="dxa"/>
              <w:bottom w:w="80" w:type="dxa"/>
              <w:right w:w="100" w:type="dxa"/>
            </w:tcMar>
          </w:tcPr>
          <w:p w14:paraId="5FCF812E" w14:textId="77777777" w:rsidR="00020AE8" w:rsidRDefault="00000000">
            <w:pPr>
              <w:spacing w:line="223" w:lineRule="auto"/>
              <w:jc w:val="both"/>
              <w:rPr>
                <w:color w:val="222222"/>
                <w:sz w:val="20"/>
                <w:szCs w:val="20"/>
                <w:highlight w:val="white"/>
              </w:rPr>
            </w:pPr>
            <w:r>
              <w:rPr>
                <w:color w:val="222222"/>
                <w:sz w:val="20"/>
                <w:szCs w:val="20"/>
                <w:highlight w:val="white"/>
              </w:rPr>
              <w:t>Chile (Biobío y Araucanía)</w:t>
            </w:r>
          </w:p>
        </w:tc>
        <w:tc>
          <w:tcPr>
            <w:tcW w:w="1125" w:type="dxa"/>
            <w:tcBorders>
              <w:bottom w:val="single" w:sz="8" w:space="0" w:color="FFFFFF"/>
              <w:right w:val="single" w:sz="8" w:space="0" w:color="FFFFFF"/>
            </w:tcBorders>
            <w:tcMar>
              <w:top w:w="80" w:type="dxa"/>
              <w:left w:w="100" w:type="dxa"/>
              <w:bottom w:w="80" w:type="dxa"/>
              <w:right w:w="100" w:type="dxa"/>
            </w:tcMar>
          </w:tcPr>
          <w:p w14:paraId="369B9BC7" w14:textId="77777777" w:rsidR="00020AE8" w:rsidRDefault="00000000">
            <w:pPr>
              <w:spacing w:line="223" w:lineRule="auto"/>
              <w:jc w:val="both"/>
              <w:rPr>
                <w:color w:val="222222"/>
                <w:sz w:val="20"/>
                <w:szCs w:val="20"/>
                <w:highlight w:val="white"/>
              </w:rPr>
            </w:pPr>
            <w:r>
              <w:rPr>
                <w:color w:val="222222"/>
                <w:sz w:val="20"/>
                <w:szCs w:val="20"/>
                <w:highlight w:val="white"/>
              </w:rPr>
              <w:t>Español</w:t>
            </w:r>
          </w:p>
        </w:tc>
        <w:tc>
          <w:tcPr>
            <w:tcW w:w="4965" w:type="dxa"/>
            <w:tcBorders>
              <w:bottom w:val="single" w:sz="8" w:space="0" w:color="FFFFFF"/>
              <w:right w:val="single" w:sz="8" w:space="0" w:color="FFFFFF"/>
            </w:tcBorders>
            <w:tcMar>
              <w:top w:w="80" w:type="dxa"/>
              <w:left w:w="100" w:type="dxa"/>
              <w:bottom w:w="80" w:type="dxa"/>
              <w:right w:w="100" w:type="dxa"/>
            </w:tcMar>
          </w:tcPr>
          <w:p w14:paraId="0AB3E183" w14:textId="77777777" w:rsidR="00020AE8" w:rsidRDefault="00000000">
            <w:pPr>
              <w:spacing w:line="223" w:lineRule="auto"/>
              <w:jc w:val="both"/>
              <w:rPr>
                <w:color w:val="222222"/>
                <w:sz w:val="20"/>
                <w:szCs w:val="20"/>
                <w:highlight w:val="white"/>
              </w:rPr>
            </w:pPr>
            <w:r>
              <w:rPr>
                <w:color w:val="222222"/>
                <w:sz w:val="20"/>
                <w:szCs w:val="20"/>
                <w:highlight w:val="white"/>
              </w:rPr>
              <w:t>La impulsividad discrimina entre grupos VFP/no VFP (d = 2,53 padre; 2,70 madre; p &lt; .001) y correlaciona con la VFP (r = .30 padre; r = .32 madre; p &lt; .001), siendo predictor significativo en la regresión (β = .073-.102). La ira se correlaciona fuertemente (r = .27-.34) pero pierde significación en el modelo multivariado, donde el mejor predictor es el “acceso a la respuesta agresiva” (β hasta .393).</w:t>
            </w:r>
          </w:p>
        </w:tc>
      </w:tr>
      <w:tr w:rsidR="00020AE8" w14:paraId="0142417F" w14:textId="77777777">
        <w:trPr>
          <w:trHeight w:val="151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3D95DF6" w14:textId="77777777" w:rsidR="00020AE8" w:rsidRDefault="00000000">
            <w:pPr>
              <w:spacing w:after="40" w:line="223" w:lineRule="auto"/>
              <w:jc w:val="both"/>
              <w:rPr>
                <w:color w:val="222222"/>
                <w:sz w:val="20"/>
                <w:szCs w:val="20"/>
                <w:highlight w:val="white"/>
              </w:rPr>
            </w:pPr>
            <w:r>
              <w:rPr>
                <w:color w:val="222222"/>
                <w:sz w:val="20"/>
                <w:szCs w:val="20"/>
                <w:highlight w:val="white"/>
              </w:rPr>
              <w:t>Cano-Lozano, Rodríguez-Díaz, León y Contreras (2020)</w:t>
            </w:r>
          </w:p>
          <w:p w14:paraId="54F68DEB" w14:textId="77777777" w:rsidR="00020AE8" w:rsidRDefault="00000000">
            <w:pPr>
              <w:spacing w:line="223" w:lineRule="auto"/>
              <w:jc w:val="both"/>
              <w:rPr>
                <w:i/>
                <w:iCs/>
                <w:color w:val="222222"/>
                <w:sz w:val="20"/>
                <w:szCs w:val="20"/>
                <w:highlight w:val="white"/>
              </w:rPr>
            </w:pPr>
            <w:r>
              <w:rPr>
                <w:i/>
                <w:iCs/>
                <w:color w:val="222222"/>
                <w:sz w:val="20"/>
                <w:szCs w:val="20"/>
                <w:highlight w:val="white"/>
              </w:rPr>
              <w:t>Analyzing the Relationship Between Child-to-Parent Violence and Perceived Parental Warmth</w:t>
            </w:r>
          </w:p>
        </w:tc>
        <w:tc>
          <w:tcPr>
            <w:tcW w:w="1230" w:type="dxa"/>
            <w:tcBorders>
              <w:bottom w:val="single" w:sz="8" w:space="0" w:color="FFFFFF"/>
              <w:right w:val="single" w:sz="8" w:space="0" w:color="FFFFFF"/>
            </w:tcBorders>
            <w:tcMar>
              <w:top w:w="80" w:type="dxa"/>
              <w:left w:w="100" w:type="dxa"/>
              <w:bottom w:w="80" w:type="dxa"/>
              <w:right w:w="100" w:type="dxa"/>
            </w:tcMar>
          </w:tcPr>
          <w:p w14:paraId="11AF4B43" w14:textId="77777777" w:rsidR="00020AE8" w:rsidRDefault="00000000">
            <w:pPr>
              <w:spacing w:line="223" w:lineRule="auto"/>
              <w:jc w:val="both"/>
              <w:rPr>
                <w:color w:val="222222"/>
                <w:sz w:val="20"/>
                <w:szCs w:val="20"/>
                <w:highlight w:val="white"/>
              </w:rPr>
            </w:pPr>
            <w:r>
              <w:rPr>
                <w:color w:val="222222"/>
                <w:sz w:val="20"/>
                <w:szCs w:val="20"/>
                <w:highlight w:val="white"/>
              </w:rPr>
              <w:t>España (Jaén y Oviedo)</w:t>
            </w:r>
          </w:p>
        </w:tc>
        <w:tc>
          <w:tcPr>
            <w:tcW w:w="1125" w:type="dxa"/>
            <w:tcBorders>
              <w:bottom w:val="single" w:sz="8" w:space="0" w:color="FFFFFF"/>
              <w:right w:val="single" w:sz="8" w:space="0" w:color="FFFFFF"/>
            </w:tcBorders>
            <w:tcMar>
              <w:top w:w="80" w:type="dxa"/>
              <w:left w:w="100" w:type="dxa"/>
              <w:bottom w:w="80" w:type="dxa"/>
              <w:right w:w="100" w:type="dxa"/>
            </w:tcMar>
          </w:tcPr>
          <w:p w14:paraId="0CE7097B"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166379BF" w14:textId="77777777" w:rsidR="00020AE8" w:rsidRDefault="00000000">
            <w:pPr>
              <w:spacing w:line="223" w:lineRule="auto"/>
              <w:jc w:val="both"/>
              <w:rPr>
                <w:color w:val="222222"/>
                <w:sz w:val="20"/>
                <w:szCs w:val="20"/>
                <w:highlight w:val="white"/>
              </w:rPr>
            </w:pPr>
            <w:r>
              <w:rPr>
                <w:color w:val="222222"/>
                <w:sz w:val="20"/>
                <w:szCs w:val="20"/>
                <w:highlight w:val="white"/>
              </w:rPr>
              <w:t>La ira predice la VFP reactiva hacia ambos progenitores (β = .384 padre; .388 madre; p &lt; .001), no la instrumental. La atribución hostil también predice la VFP reactiva (β = .598 padre; .593 madre). La crítica-rechazo parental se asocia positivamente con ira y atribución hostil; la calidez parental, negativamente.</w:t>
            </w:r>
          </w:p>
        </w:tc>
      </w:tr>
      <w:tr w:rsidR="00020AE8" w14:paraId="3238BEB9" w14:textId="77777777">
        <w:trPr>
          <w:trHeight w:val="118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65D765F3" w14:textId="77777777" w:rsidR="00020AE8" w:rsidRDefault="00000000">
            <w:pPr>
              <w:spacing w:after="40" w:line="223" w:lineRule="auto"/>
              <w:jc w:val="both"/>
              <w:rPr>
                <w:color w:val="222222"/>
                <w:sz w:val="20"/>
                <w:szCs w:val="20"/>
                <w:highlight w:val="white"/>
              </w:rPr>
            </w:pPr>
            <w:r>
              <w:rPr>
                <w:color w:val="222222"/>
                <w:sz w:val="20"/>
                <w:szCs w:val="20"/>
                <w:highlight w:val="white"/>
              </w:rPr>
              <w:t>Sasaki et al. (2021)</w:t>
            </w:r>
          </w:p>
          <w:p w14:paraId="136EF9B1" w14:textId="77777777" w:rsidR="00020AE8" w:rsidRDefault="00000000">
            <w:pPr>
              <w:spacing w:line="223" w:lineRule="auto"/>
              <w:jc w:val="both"/>
              <w:rPr>
                <w:i/>
                <w:iCs/>
                <w:color w:val="222222"/>
                <w:sz w:val="20"/>
                <w:szCs w:val="20"/>
                <w:highlight w:val="white"/>
              </w:rPr>
            </w:pPr>
            <w:r>
              <w:rPr>
                <w:i/>
                <w:iCs/>
                <w:color w:val="222222"/>
                <w:sz w:val="20"/>
                <w:szCs w:val="20"/>
                <w:highlight w:val="white"/>
              </w:rPr>
              <w:t>Case-control study on clinical characteristics of child and adolescent psychiatric outpatients with CPV</w:t>
            </w:r>
          </w:p>
        </w:tc>
        <w:tc>
          <w:tcPr>
            <w:tcW w:w="1230" w:type="dxa"/>
            <w:tcBorders>
              <w:bottom w:val="single" w:sz="8" w:space="0" w:color="FFFFFF"/>
              <w:right w:val="single" w:sz="8" w:space="0" w:color="FFFFFF"/>
            </w:tcBorders>
            <w:tcMar>
              <w:top w:w="80" w:type="dxa"/>
              <w:left w:w="100" w:type="dxa"/>
              <w:bottom w:w="80" w:type="dxa"/>
              <w:right w:w="100" w:type="dxa"/>
            </w:tcMar>
          </w:tcPr>
          <w:p w14:paraId="236DB526" w14:textId="77777777" w:rsidR="00020AE8" w:rsidRDefault="00000000">
            <w:pPr>
              <w:spacing w:line="223" w:lineRule="auto"/>
              <w:jc w:val="both"/>
              <w:rPr>
                <w:color w:val="222222"/>
                <w:sz w:val="20"/>
                <w:szCs w:val="20"/>
                <w:highlight w:val="white"/>
              </w:rPr>
            </w:pPr>
            <w:r>
              <w:rPr>
                <w:color w:val="222222"/>
                <w:sz w:val="20"/>
                <w:szCs w:val="20"/>
                <w:highlight w:val="white"/>
              </w:rPr>
              <w:t>Japón</w:t>
            </w:r>
          </w:p>
        </w:tc>
        <w:tc>
          <w:tcPr>
            <w:tcW w:w="1125" w:type="dxa"/>
            <w:tcBorders>
              <w:bottom w:val="single" w:sz="8" w:space="0" w:color="FFFFFF"/>
              <w:right w:val="single" w:sz="8" w:space="0" w:color="FFFFFF"/>
            </w:tcBorders>
            <w:tcMar>
              <w:top w:w="80" w:type="dxa"/>
              <w:left w:w="100" w:type="dxa"/>
              <w:bottom w:w="80" w:type="dxa"/>
              <w:right w:w="100" w:type="dxa"/>
            </w:tcMar>
          </w:tcPr>
          <w:p w14:paraId="42CB2EF9"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07D5DAD4" w14:textId="77777777" w:rsidR="00020AE8" w:rsidRDefault="00000000">
            <w:pPr>
              <w:spacing w:line="223" w:lineRule="auto"/>
              <w:jc w:val="both"/>
              <w:rPr>
                <w:color w:val="222222"/>
                <w:sz w:val="20"/>
                <w:szCs w:val="20"/>
                <w:highlight w:val="white"/>
              </w:rPr>
            </w:pPr>
            <w:r>
              <w:rPr>
                <w:color w:val="222222"/>
                <w:sz w:val="20"/>
                <w:szCs w:val="20"/>
                <w:highlight w:val="white"/>
              </w:rPr>
              <w:t>El grupo con VFP presenta puntuaciones más altas en ADHD-RS (22,94 vs 14,41; p &lt; .001; d = 0,72). En la regresión multivariada, el TDAH se asocia de forma independiente con la VFP (OR = 1,03; IC 95% 1,01-1,06), junto con la conducta antisocial (OR = 3,27) y el abuso (OR = 2,64); los rasgos autistas no resultaron significativos.</w:t>
            </w:r>
          </w:p>
        </w:tc>
      </w:tr>
      <w:tr w:rsidR="00020AE8" w14:paraId="693D981F" w14:textId="77777777">
        <w:trPr>
          <w:trHeight w:val="1350"/>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5F99287" w14:textId="77777777" w:rsidR="00020AE8" w:rsidRDefault="00000000">
            <w:pPr>
              <w:spacing w:after="40" w:line="223" w:lineRule="auto"/>
              <w:jc w:val="both"/>
              <w:rPr>
                <w:color w:val="222222"/>
                <w:sz w:val="20"/>
                <w:szCs w:val="20"/>
                <w:highlight w:val="white"/>
              </w:rPr>
            </w:pPr>
            <w:r>
              <w:rPr>
                <w:color w:val="222222"/>
                <w:sz w:val="20"/>
                <w:szCs w:val="20"/>
                <w:highlight w:val="white"/>
              </w:rPr>
              <w:lastRenderedPageBreak/>
              <w:t>Chou, Hsiao, Wang y Yen (2025)</w:t>
            </w:r>
          </w:p>
          <w:p w14:paraId="12771E49" w14:textId="77777777" w:rsidR="00020AE8" w:rsidRDefault="00000000">
            <w:pPr>
              <w:spacing w:line="223" w:lineRule="auto"/>
              <w:jc w:val="both"/>
              <w:rPr>
                <w:i/>
                <w:iCs/>
                <w:color w:val="222222"/>
                <w:sz w:val="20"/>
                <w:szCs w:val="20"/>
                <w:highlight w:val="white"/>
              </w:rPr>
            </w:pPr>
            <w:r>
              <w:rPr>
                <w:i/>
                <w:iCs/>
                <w:color w:val="222222"/>
                <w:sz w:val="20"/>
                <w:szCs w:val="20"/>
                <w:highlight w:val="white"/>
              </w:rPr>
              <w:t>Multidimensional Factors Related to Engagement in Child-to-Parent Violence among Adolescents with ADHD</w:t>
            </w:r>
          </w:p>
        </w:tc>
        <w:tc>
          <w:tcPr>
            <w:tcW w:w="1230" w:type="dxa"/>
            <w:tcBorders>
              <w:bottom w:val="single" w:sz="8" w:space="0" w:color="FFFFFF"/>
              <w:right w:val="single" w:sz="8" w:space="0" w:color="FFFFFF"/>
            </w:tcBorders>
            <w:tcMar>
              <w:top w:w="80" w:type="dxa"/>
              <w:left w:w="100" w:type="dxa"/>
              <w:bottom w:w="80" w:type="dxa"/>
              <w:right w:w="100" w:type="dxa"/>
            </w:tcMar>
          </w:tcPr>
          <w:p w14:paraId="7ED196CE" w14:textId="77777777" w:rsidR="00020AE8" w:rsidRDefault="00000000">
            <w:pPr>
              <w:spacing w:line="223" w:lineRule="auto"/>
              <w:jc w:val="both"/>
              <w:rPr>
                <w:color w:val="222222"/>
                <w:sz w:val="20"/>
                <w:szCs w:val="20"/>
                <w:highlight w:val="white"/>
              </w:rPr>
            </w:pPr>
            <w:r>
              <w:rPr>
                <w:color w:val="222222"/>
                <w:sz w:val="20"/>
                <w:szCs w:val="20"/>
                <w:highlight w:val="white"/>
              </w:rPr>
              <w:t>Taiwán</w:t>
            </w:r>
          </w:p>
        </w:tc>
        <w:tc>
          <w:tcPr>
            <w:tcW w:w="1125" w:type="dxa"/>
            <w:tcBorders>
              <w:bottom w:val="single" w:sz="8" w:space="0" w:color="FFFFFF"/>
              <w:right w:val="single" w:sz="8" w:space="0" w:color="FFFFFF"/>
            </w:tcBorders>
            <w:tcMar>
              <w:top w:w="80" w:type="dxa"/>
              <w:left w:w="100" w:type="dxa"/>
              <w:bottom w:w="80" w:type="dxa"/>
              <w:right w:w="100" w:type="dxa"/>
            </w:tcMar>
          </w:tcPr>
          <w:p w14:paraId="49935732"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3484E478" w14:textId="77777777" w:rsidR="00020AE8" w:rsidRDefault="00000000">
            <w:pPr>
              <w:spacing w:line="223" w:lineRule="auto"/>
              <w:jc w:val="both"/>
              <w:rPr>
                <w:color w:val="222222"/>
                <w:sz w:val="20"/>
                <w:szCs w:val="20"/>
                <w:highlight w:val="white"/>
              </w:rPr>
            </w:pPr>
            <w:r>
              <w:rPr>
                <w:color w:val="222222"/>
                <w:sz w:val="20"/>
                <w:szCs w:val="20"/>
                <w:highlight w:val="white"/>
              </w:rPr>
              <w:t>La “respuesta agresiva” (proxy de reactividad emocional) se asocia con la agresión psicológica (OR = 3,46; p = .003) y el control/dominación (OR = 4,07; p = .001). Los problemas externalizantes fueron el predictor más robusto de agresión física (OR = 1,11; p = .001).</w:t>
            </w:r>
          </w:p>
        </w:tc>
      </w:tr>
      <w:tr w:rsidR="00020AE8" w14:paraId="7E12C08D" w14:textId="77777777">
        <w:trPr>
          <w:trHeight w:val="1350"/>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B01D6DE" w14:textId="77777777" w:rsidR="00020AE8" w:rsidRDefault="00000000">
            <w:pPr>
              <w:spacing w:after="40" w:line="223" w:lineRule="auto"/>
              <w:jc w:val="both"/>
              <w:rPr>
                <w:color w:val="222222"/>
                <w:sz w:val="20"/>
                <w:szCs w:val="20"/>
                <w:highlight w:val="white"/>
              </w:rPr>
            </w:pPr>
            <w:r>
              <w:rPr>
                <w:color w:val="222222"/>
                <w:sz w:val="20"/>
                <w:szCs w:val="20"/>
                <w:highlight w:val="white"/>
              </w:rPr>
              <w:t>Papamichail y Bates (2022)</w:t>
            </w:r>
          </w:p>
          <w:p w14:paraId="109CFB49" w14:textId="77777777" w:rsidR="00020AE8" w:rsidRDefault="00000000">
            <w:pPr>
              <w:spacing w:line="223" w:lineRule="auto"/>
              <w:jc w:val="both"/>
              <w:rPr>
                <w:i/>
                <w:iCs/>
                <w:color w:val="222222"/>
                <w:sz w:val="20"/>
                <w:szCs w:val="20"/>
                <w:highlight w:val="white"/>
              </w:rPr>
            </w:pPr>
            <w:r>
              <w:rPr>
                <w:i/>
                <w:iCs/>
                <w:color w:val="222222"/>
                <w:sz w:val="20"/>
                <w:szCs w:val="20"/>
                <w:highlight w:val="white"/>
              </w:rPr>
              <w:t>“I Want My Mum to Know That I Am a Good Guy . . .”: A Thematic Analysis of Adolescents Who Exhibit CPV</w:t>
            </w:r>
          </w:p>
        </w:tc>
        <w:tc>
          <w:tcPr>
            <w:tcW w:w="1230" w:type="dxa"/>
            <w:tcBorders>
              <w:bottom w:val="single" w:sz="8" w:space="0" w:color="FFFFFF"/>
              <w:right w:val="single" w:sz="8" w:space="0" w:color="FFFFFF"/>
            </w:tcBorders>
            <w:tcMar>
              <w:top w:w="80" w:type="dxa"/>
              <w:left w:w="100" w:type="dxa"/>
              <w:bottom w:w="80" w:type="dxa"/>
              <w:right w:w="100" w:type="dxa"/>
            </w:tcMar>
          </w:tcPr>
          <w:p w14:paraId="7160E414" w14:textId="77777777" w:rsidR="00020AE8" w:rsidRDefault="00000000">
            <w:pPr>
              <w:spacing w:line="223" w:lineRule="auto"/>
              <w:jc w:val="both"/>
              <w:rPr>
                <w:color w:val="222222"/>
                <w:sz w:val="20"/>
                <w:szCs w:val="20"/>
                <w:highlight w:val="white"/>
              </w:rPr>
            </w:pPr>
            <w:r>
              <w:rPr>
                <w:color w:val="222222"/>
                <w:sz w:val="20"/>
                <w:szCs w:val="20"/>
                <w:highlight w:val="white"/>
              </w:rPr>
              <w:t>Reino Unido (Inglaterra)</w:t>
            </w:r>
          </w:p>
        </w:tc>
        <w:tc>
          <w:tcPr>
            <w:tcW w:w="1125" w:type="dxa"/>
            <w:tcBorders>
              <w:bottom w:val="single" w:sz="8" w:space="0" w:color="FFFFFF"/>
              <w:right w:val="single" w:sz="8" w:space="0" w:color="FFFFFF"/>
            </w:tcBorders>
            <w:tcMar>
              <w:top w:w="80" w:type="dxa"/>
              <w:left w:w="100" w:type="dxa"/>
              <w:bottom w:w="80" w:type="dxa"/>
              <w:right w:w="100" w:type="dxa"/>
            </w:tcMar>
          </w:tcPr>
          <w:p w14:paraId="2D1AB4D3"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7497C94F" w14:textId="77777777" w:rsidR="00020AE8" w:rsidRDefault="00000000">
            <w:pPr>
              <w:spacing w:line="223" w:lineRule="auto"/>
              <w:jc w:val="both"/>
              <w:rPr>
                <w:color w:val="222222"/>
                <w:sz w:val="20"/>
                <w:szCs w:val="20"/>
                <w:highlight w:val="white"/>
              </w:rPr>
            </w:pPr>
            <w:r>
              <w:rPr>
                <w:color w:val="222222"/>
                <w:sz w:val="20"/>
                <w:szCs w:val="20"/>
                <w:highlight w:val="white"/>
              </w:rPr>
              <w:t>Cinco de ocho participantes identificaron la dificultad para controlar sus emociones como razón de su conducta violenta, descripta como ira súbita e incontrolable. Los autores enmarcan la desregulación dentro de un trauma complejo y un apego disruptivo, aunque esta lectura es explícitamente especulativa.</w:t>
            </w:r>
          </w:p>
        </w:tc>
      </w:tr>
      <w:tr w:rsidR="00020AE8" w14:paraId="3C30969C" w14:textId="77777777">
        <w:trPr>
          <w:trHeight w:val="118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3071CDF2" w14:textId="77777777" w:rsidR="00020AE8" w:rsidRDefault="00000000">
            <w:pPr>
              <w:spacing w:after="40" w:line="223" w:lineRule="auto"/>
              <w:jc w:val="both"/>
              <w:rPr>
                <w:color w:val="222222"/>
                <w:sz w:val="20"/>
                <w:szCs w:val="20"/>
                <w:highlight w:val="white"/>
              </w:rPr>
            </w:pPr>
            <w:r>
              <w:rPr>
                <w:color w:val="222222"/>
                <w:sz w:val="20"/>
                <w:szCs w:val="20"/>
                <w:highlight w:val="white"/>
              </w:rPr>
              <w:t>Sasaki et al. (2025)</w:t>
            </w:r>
          </w:p>
          <w:p w14:paraId="18F685F9" w14:textId="77777777" w:rsidR="00020AE8" w:rsidRDefault="00000000">
            <w:pPr>
              <w:spacing w:line="223" w:lineRule="auto"/>
              <w:jc w:val="both"/>
              <w:rPr>
                <w:i/>
                <w:iCs/>
                <w:color w:val="222222"/>
                <w:sz w:val="20"/>
                <w:szCs w:val="20"/>
                <w:highlight w:val="white"/>
              </w:rPr>
            </w:pPr>
            <w:r>
              <w:rPr>
                <w:i/>
                <w:iCs/>
                <w:color w:val="222222"/>
                <w:sz w:val="20"/>
                <w:szCs w:val="20"/>
                <w:highlight w:val="white"/>
              </w:rPr>
              <w:t>Clinical Characteristics of Missed Child-to-Parent Violence in Child and Adolescent Psychiatric Patients</w:t>
            </w:r>
          </w:p>
        </w:tc>
        <w:tc>
          <w:tcPr>
            <w:tcW w:w="1230" w:type="dxa"/>
            <w:tcBorders>
              <w:bottom w:val="single" w:sz="8" w:space="0" w:color="FFFFFF"/>
              <w:right w:val="single" w:sz="8" w:space="0" w:color="FFFFFF"/>
            </w:tcBorders>
            <w:tcMar>
              <w:top w:w="80" w:type="dxa"/>
              <w:left w:w="100" w:type="dxa"/>
              <w:bottom w:w="80" w:type="dxa"/>
              <w:right w:w="100" w:type="dxa"/>
            </w:tcMar>
          </w:tcPr>
          <w:p w14:paraId="447E58C1" w14:textId="77777777" w:rsidR="00020AE8" w:rsidRDefault="00000000">
            <w:pPr>
              <w:spacing w:line="223" w:lineRule="auto"/>
              <w:jc w:val="both"/>
              <w:rPr>
                <w:color w:val="222222"/>
                <w:sz w:val="20"/>
                <w:szCs w:val="20"/>
                <w:highlight w:val="white"/>
              </w:rPr>
            </w:pPr>
            <w:r>
              <w:rPr>
                <w:color w:val="222222"/>
                <w:sz w:val="20"/>
                <w:szCs w:val="20"/>
                <w:highlight w:val="white"/>
              </w:rPr>
              <w:t>Japón</w:t>
            </w:r>
          </w:p>
        </w:tc>
        <w:tc>
          <w:tcPr>
            <w:tcW w:w="1125" w:type="dxa"/>
            <w:tcBorders>
              <w:bottom w:val="single" w:sz="8" w:space="0" w:color="FFFFFF"/>
              <w:right w:val="single" w:sz="8" w:space="0" w:color="FFFFFF"/>
            </w:tcBorders>
            <w:tcMar>
              <w:top w:w="80" w:type="dxa"/>
              <w:left w:w="100" w:type="dxa"/>
              <w:bottom w:w="80" w:type="dxa"/>
              <w:right w:w="100" w:type="dxa"/>
            </w:tcMar>
          </w:tcPr>
          <w:p w14:paraId="3E1FBFE7"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6311C7F3" w14:textId="77777777" w:rsidR="00020AE8" w:rsidRDefault="00000000">
            <w:pPr>
              <w:spacing w:line="223" w:lineRule="auto"/>
              <w:jc w:val="both"/>
              <w:rPr>
                <w:color w:val="222222"/>
                <w:sz w:val="20"/>
                <w:szCs w:val="20"/>
                <w:highlight w:val="white"/>
              </w:rPr>
            </w:pPr>
            <w:r>
              <w:rPr>
                <w:color w:val="222222"/>
                <w:sz w:val="20"/>
                <w:szCs w:val="20"/>
                <w:highlight w:val="white"/>
              </w:rPr>
              <w:t>El TDAH se asocia de forma independiente con la VFP no detectada (OR = 1,07; IC 95% 1,03-1,11; p &lt; .01); la impulsividad es más prominente en niños más pequeños. Diseño retrospectivo con celdas pequeñas, sin inferencia causal.</w:t>
            </w:r>
          </w:p>
        </w:tc>
      </w:tr>
      <w:tr w:rsidR="00020AE8" w14:paraId="578A719F" w14:textId="77777777">
        <w:trPr>
          <w:trHeight w:val="118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2F0EB6A4" w14:textId="77777777" w:rsidR="00020AE8" w:rsidRDefault="00000000">
            <w:pPr>
              <w:spacing w:after="40" w:line="223" w:lineRule="auto"/>
              <w:jc w:val="both"/>
              <w:rPr>
                <w:color w:val="222222"/>
                <w:sz w:val="20"/>
                <w:szCs w:val="20"/>
                <w:highlight w:val="white"/>
              </w:rPr>
            </w:pPr>
            <w:r>
              <w:rPr>
                <w:color w:val="222222"/>
                <w:sz w:val="20"/>
                <w:szCs w:val="20"/>
                <w:highlight w:val="white"/>
              </w:rPr>
              <w:t>Bechtiger et al. (2026)</w:t>
            </w:r>
          </w:p>
          <w:p w14:paraId="62816E7E" w14:textId="77777777" w:rsidR="00020AE8" w:rsidRDefault="00000000">
            <w:pPr>
              <w:spacing w:line="223" w:lineRule="auto"/>
              <w:jc w:val="both"/>
              <w:rPr>
                <w:i/>
                <w:iCs/>
                <w:color w:val="222222"/>
                <w:sz w:val="20"/>
                <w:szCs w:val="20"/>
                <w:highlight w:val="white"/>
              </w:rPr>
            </w:pPr>
            <w:r>
              <w:rPr>
                <w:i/>
                <w:iCs/>
                <w:color w:val="222222"/>
                <w:sz w:val="20"/>
                <w:szCs w:val="20"/>
                <w:highlight w:val="white"/>
              </w:rPr>
              <w:t>Physical aggression toward parents from ages 11 to 24: prevalence trajectory and risk and protective factors</w:t>
            </w:r>
          </w:p>
        </w:tc>
        <w:tc>
          <w:tcPr>
            <w:tcW w:w="1230" w:type="dxa"/>
            <w:tcBorders>
              <w:bottom w:val="single" w:sz="8" w:space="0" w:color="FFFFFF"/>
              <w:right w:val="single" w:sz="8" w:space="0" w:color="FFFFFF"/>
            </w:tcBorders>
            <w:tcMar>
              <w:top w:w="80" w:type="dxa"/>
              <w:left w:w="100" w:type="dxa"/>
              <w:bottom w:w="80" w:type="dxa"/>
              <w:right w:w="100" w:type="dxa"/>
            </w:tcMar>
          </w:tcPr>
          <w:p w14:paraId="1A78CB77" w14:textId="77777777" w:rsidR="00020AE8" w:rsidRDefault="00000000">
            <w:pPr>
              <w:spacing w:line="223" w:lineRule="auto"/>
              <w:jc w:val="both"/>
              <w:rPr>
                <w:color w:val="222222"/>
                <w:sz w:val="20"/>
                <w:szCs w:val="20"/>
                <w:highlight w:val="white"/>
              </w:rPr>
            </w:pPr>
            <w:r>
              <w:rPr>
                <w:color w:val="222222"/>
                <w:sz w:val="20"/>
                <w:szCs w:val="20"/>
                <w:highlight w:val="white"/>
              </w:rPr>
              <w:t>Suiza (Zúrich)</w:t>
            </w:r>
          </w:p>
        </w:tc>
        <w:tc>
          <w:tcPr>
            <w:tcW w:w="1125" w:type="dxa"/>
            <w:tcBorders>
              <w:bottom w:val="single" w:sz="8" w:space="0" w:color="FFFFFF"/>
              <w:right w:val="single" w:sz="8" w:space="0" w:color="FFFFFF"/>
            </w:tcBorders>
            <w:tcMar>
              <w:top w:w="80" w:type="dxa"/>
              <w:left w:w="100" w:type="dxa"/>
              <w:bottom w:w="80" w:type="dxa"/>
              <w:right w:w="100" w:type="dxa"/>
            </w:tcMar>
          </w:tcPr>
          <w:p w14:paraId="27225917"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6BC09E6B" w14:textId="77777777" w:rsidR="00020AE8" w:rsidRDefault="00000000">
            <w:pPr>
              <w:spacing w:line="223" w:lineRule="auto"/>
              <w:jc w:val="both"/>
              <w:rPr>
                <w:color w:val="222222"/>
                <w:sz w:val="20"/>
                <w:szCs w:val="20"/>
                <w:highlight w:val="white"/>
              </w:rPr>
            </w:pPr>
            <w:r>
              <w:rPr>
                <w:color w:val="222222"/>
                <w:sz w:val="20"/>
                <w:szCs w:val="20"/>
                <w:highlight w:val="white"/>
              </w:rPr>
              <w:t>Tras controlar la agresión general previa, el TDAH permanece asociado de forma específica con la VFP acumulada (OR = 1,25-1,26; IC 95% 1,09-1,45). El afrontamiento competente del conflicto y la implicación parental actúan como factores protectores (OR = 0,83-0,85).</w:t>
            </w:r>
          </w:p>
        </w:tc>
      </w:tr>
      <w:tr w:rsidR="00020AE8" w14:paraId="2C9E3043" w14:textId="77777777">
        <w:trPr>
          <w:trHeight w:val="151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535B940" w14:textId="77777777" w:rsidR="00020AE8" w:rsidRDefault="00000000">
            <w:pPr>
              <w:spacing w:after="40" w:line="223" w:lineRule="auto"/>
              <w:jc w:val="both"/>
              <w:rPr>
                <w:color w:val="222222"/>
                <w:sz w:val="20"/>
                <w:szCs w:val="20"/>
                <w:highlight w:val="white"/>
              </w:rPr>
            </w:pPr>
            <w:r>
              <w:rPr>
                <w:color w:val="222222"/>
                <w:sz w:val="20"/>
                <w:szCs w:val="20"/>
                <w:highlight w:val="white"/>
              </w:rPr>
              <w:t>Jiménez-Granado, del Hoyo-Bilbao y Fernández-González (2023)</w:t>
            </w:r>
          </w:p>
          <w:p w14:paraId="2910B9F2" w14:textId="77777777" w:rsidR="00020AE8" w:rsidRDefault="00000000">
            <w:pPr>
              <w:spacing w:line="223" w:lineRule="auto"/>
              <w:jc w:val="both"/>
              <w:rPr>
                <w:i/>
                <w:iCs/>
                <w:color w:val="222222"/>
                <w:sz w:val="20"/>
                <w:szCs w:val="20"/>
                <w:highlight w:val="white"/>
              </w:rPr>
            </w:pPr>
            <w:r>
              <w:rPr>
                <w:i/>
                <w:iCs/>
                <w:color w:val="222222"/>
                <w:sz w:val="20"/>
                <w:szCs w:val="20"/>
                <w:highlight w:val="white"/>
              </w:rPr>
              <w:t>Interaction of Parental Discipline Strategies and Adolescents' Personality Traits in the Prediction of CPV</w:t>
            </w:r>
          </w:p>
        </w:tc>
        <w:tc>
          <w:tcPr>
            <w:tcW w:w="1230" w:type="dxa"/>
            <w:tcBorders>
              <w:bottom w:val="single" w:sz="8" w:space="0" w:color="FFFFFF"/>
              <w:right w:val="single" w:sz="8" w:space="0" w:color="FFFFFF"/>
            </w:tcBorders>
            <w:tcMar>
              <w:top w:w="80" w:type="dxa"/>
              <w:left w:w="100" w:type="dxa"/>
              <w:bottom w:w="80" w:type="dxa"/>
              <w:right w:w="100" w:type="dxa"/>
            </w:tcMar>
          </w:tcPr>
          <w:p w14:paraId="01BA4FC3" w14:textId="77777777" w:rsidR="00020AE8" w:rsidRDefault="00000000">
            <w:pPr>
              <w:spacing w:line="223" w:lineRule="auto"/>
              <w:jc w:val="both"/>
              <w:rPr>
                <w:color w:val="222222"/>
                <w:sz w:val="20"/>
                <w:szCs w:val="20"/>
                <w:highlight w:val="white"/>
              </w:rPr>
            </w:pPr>
            <w:r>
              <w:rPr>
                <w:color w:val="222222"/>
                <w:sz w:val="20"/>
                <w:szCs w:val="20"/>
                <w:highlight w:val="white"/>
              </w:rPr>
              <w:t>España (Bizkaia)</w:t>
            </w:r>
          </w:p>
        </w:tc>
        <w:tc>
          <w:tcPr>
            <w:tcW w:w="1125" w:type="dxa"/>
            <w:tcBorders>
              <w:bottom w:val="single" w:sz="8" w:space="0" w:color="FFFFFF"/>
              <w:right w:val="single" w:sz="8" w:space="0" w:color="FFFFFF"/>
            </w:tcBorders>
            <w:tcMar>
              <w:top w:w="80" w:type="dxa"/>
              <w:left w:w="100" w:type="dxa"/>
              <w:bottom w:w="80" w:type="dxa"/>
              <w:right w:w="100" w:type="dxa"/>
            </w:tcMar>
          </w:tcPr>
          <w:p w14:paraId="63928CF5" w14:textId="77777777" w:rsidR="00020AE8" w:rsidRDefault="00000000">
            <w:pPr>
              <w:spacing w:line="223" w:lineRule="auto"/>
              <w:jc w:val="both"/>
              <w:rPr>
                <w:color w:val="222222"/>
                <w:sz w:val="20"/>
                <w:szCs w:val="20"/>
                <w:highlight w:val="white"/>
              </w:rPr>
            </w:pPr>
            <w:r>
              <w:rPr>
                <w:color w:val="222222"/>
                <w:sz w:val="20"/>
                <w:szCs w:val="20"/>
                <w:highlight w:val="white"/>
              </w:rPr>
              <w:t>Inglés/Español</w:t>
            </w:r>
          </w:p>
        </w:tc>
        <w:tc>
          <w:tcPr>
            <w:tcW w:w="4965" w:type="dxa"/>
            <w:tcBorders>
              <w:bottom w:val="single" w:sz="8" w:space="0" w:color="FFFFFF"/>
              <w:right w:val="single" w:sz="8" w:space="0" w:color="FFFFFF"/>
            </w:tcBorders>
            <w:tcMar>
              <w:top w:w="80" w:type="dxa"/>
              <w:left w:w="100" w:type="dxa"/>
              <w:bottom w:w="80" w:type="dxa"/>
              <w:right w:w="100" w:type="dxa"/>
            </w:tcMar>
          </w:tcPr>
          <w:p w14:paraId="083677CA" w14:textId="77777777" w:rsidR="00020AE8" w:rsidRDefault="00000000">
            <w:pPr>
              <w:spacing w:line="223" w:lineRule="auto"/>
              <w:jc w:val="both"/>
              <w:rPr>
                <w:color w:val="222222"/>
                <w:sz w:val="20"/>
                <w:szCs w:val="20"/>
                <w:highlight w:val="white"/>
              </w:rPr>
            </w:pPr>
            <w:r>
              <w:rPr>
                <w:color w:val="222222"/>
                <w:sz w:val="20"/>
                <w:szCs w:val="20"/>
                <w:highlight w:val="white"/>
              </w:rPr>
              <w:t>Los rasgos de personalidad no predicen directamente la VFP, pero moderan el efecto de la disciplina parental: ignorar el mal comportamiento predice un aumento de la VFP solo en adolescentes con rasgos fríos-insensibles altos (β = .217-.271; p &lt; .001).</w:t>
            </w:r>
          </w:p>
        </w:tc>
      </w:tr>
      <w:tr w:rsidR="00020AE8" w14:paraId="3ED0D177" w14:textId="77777777">
        <w:trPr>
          <w:trHeight w:val="151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BAE56CD" w14:textId="77777777" w:rsidR="00020AE8" w:rsidRDefault="00000000">
            <w:pPr>
              <w:spacing w:after="40" w:line="223" w:lineRule="auto"/>
              <w:jc w:val="both"/>
              <w:rPr>
                <w:color w:val="222222"/>
                <w:sz w:val="20"/>
                <w:szCs w:val="20"/>
                <w:highlight w:val="white"/>
              </w:rPr>
            </w:pPr>
            <w:r>
              <w:rPr>
                <w:color w:val="222222"/>
                <w:sz w:val="20"/>
                <w:szCs w:val="20"/>
                <w:highlight w:val="white"/>
              </w:rPr>
              <w:t>Cano-Lozano, Contreras, Navas-Martínez, León y Rodríguez-Díaz (2023)</w:t>
            </w:r>
          </w:p>
          <w:p w14:paraId="7A44D5DA" w14:textId="77777777" w:rsidR="00020AE8" w:rsidRDefault="00000000">
            <w:pPr>
              <w:spacing w:line="223" w:lineRule="auto"/>
              <w:jc w:val="both"/>
              <w:rPr>
                <w:i/>
                <w:iCs/>
                <w:color w:val="222222"/>
                <w:sz w:val="20"/>
                <w:szCs w:val="20"/>
                <w:highlight w:val="white"/>
              </w:rPr>
            </w:pPr>
            <w:r>
              <w:rPr>
                <w:i/>
                <w:iCs/>
                <w:color w:val="222222"/>
                <w:sz w:val="20"/>
                <w:szCs w:val="20"/>
                <w:highlight w:val="white"/>
              </w:rPr>
              <w:t>Child-to-parent violence offenders (specialists vs. generalists): The role of direct victimization at home</w:t>
            </w:r>
          </w:p>
        </w:tc>
        <w:tc>
          <w:tcPr>
            <w:tcW w:w="1230" w:type="dxa"/>
            <w:tcBorders>
              <w:bottom w:val="single" w:sz="8" w:space="0" w:color="FFFFFF"/>
              <w:right w:val="single" w:sz="8" w:space="0" w:color="FFFFFF"/>
            </w:tcBorders>
            <w:tcMar>
              <w:top w:w="80" w:type="dxa"/>
              <w:left w:w="100" w:type="dxa"/>
              <w:bottom w:w="80" w:type="dxa"/>
              <w:right w:w="100" w:type="dxa"/>
            </w:tcMar>
          </w:tcPr>
          <w:p w14:paraId="3DCD152A" w14:textId="77777777" w:rsidR="00020AE8" w:rsidRDefault="00000000">
            <w:pPr>
              <w:spacing w:line="223" w:lineRule="auto"/>
              <w:jc w:val="both"/>
              <w:rPr>
                <w:color w:val="222222"/>
                <w:sz w:val="20"/>
                <w:szCs w:val="20"/>
                <w:highlight w:val="white"/>
              </w:rPr>
            </w:pPr>
            <w:r>
              <w:rPr>
                <w:color w:val="222222"/>
                <w:sz w:val="20"/>
                <w:szCs w:val="20"/>
                <w:highlight w:val="white"/>
              </w:rPr>
              <w:t>España (Jaén y Oviedo)</w:t>
            </w:r>
          </w:p>
        </w:tc>
        <w:tc>
          <w:tcPr>
            <w:tcW w:w="1125" w:type="dxa"/>
            <w:tcBorders>
              <w:bottom w:val="single" w:sz="8" w:space="0" w:color="FFFFFF"/>
              <w:right w:val="single" w:sz="8" w:space="0" w:color="FFFFFF"/>
            </w:tcBorders>
            <w:tcMar>
              <w:top w:w="80" w:type="dxa"/>
              <w:left w:w="100" w:type="dxa"/>
              <w:bottom w:w="80" w:type="dxa"/>
              <w:right w:w="100" w:type="dxa"/>
            </w:tcMar>
          </w:tcPr>
          <w:p w14:paraId="7FB1C798"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6242FC2A" w14:textId="77777777" w:rsidR="00020AE8" w:rsidRDefault="00000000">
            <w:pPr>
              <w:spacing w:line="223" w:lineRule="auto"/>
              <w:jc w:val="both"/>
              <w:rPr>
                <w:color w:val="222222"/>
                <w:sz w:val="20"/>
                <w:szCs w:val="20"/>
                <w:highlight w:val="white"/>
              </w:rPr>
            </w:pPr>
            <w:r>
              <w:rPr>
                <w:color w:val="222222"/>
                <w:sz w:val="20"/>
                <w:szCs w:val="20"/>
                <w:highlight w:val="white"/>
              </w:rPr>
              <w:t>La victimización directa en el hogar predice los componentes socio-cognitivos disfuncionales —ira (β = .303), acceso a la respuesta agresiva (β = .377)— que a su vez se asocian con la VFP reactiva; la anticipación de consecuencias positivas y la justificación de la violencia se asocian con la VFP instrumental.</w:t>
            </w:r>
          </w:p>
        </w:tc>
      </w:tr>
      <w:tr w:rsidR="00020AE8" w14:paraId="70ACA081" w14:textId="77777777">
        <w:trPr>
          <w:trHeight w:val="82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6C00A5E2" w14:textId="77777777" w:rsidR="00020AE8" w:rsidRDefault="00000000">
            <w:pPr>
              <w:spacing w:after="40" w:line="223" w:lineRule="auto"/>
              <w:jc w:val="both"/>
              <w:rPr>
                <w:color w:val="222222"/>
                <w:sz w:val="20"/>
                <w:szCs w:val="20"/>
                <w:highlight w:val="white"/>
              </w:rPr>
            </w:pPr>
            <w:r>
              <w:rPr>
                <w:color w:val="222222"/>
                <w:sz w:val="20"/>
                <w:szCs w:val="20"/>
                <w:highlight w:val="white"/>
              </w:rPr>
              <w:t>Cortina y Martín (2020)</w:t>
            </w:r>
          </w:p>
          <w:p w14:paraId="6FE8BF44" w14:textId="77777777" w:rsidR="00020AE8" w:rsidRDefault="00000000">
            <w:pPr>
              <w:spacing w:line="223" w:lineRule="auto"/>
              <w:jc w:val="both"/>
              <w:rPr>
                <w:i/>
                <w:iCs/>
                <w:color w:val="222222"/>
                <w:sz w:val="20"/>
                <w:szCs w:val="20"/>
                <w:highlight w:val="white"/>
              </w:rPr>
            </w:pPr>
            <w:r>
              <w:rPr>
                <w:i/>
                <w:iCs/>
                <w:color w:val="222222"/>
                <w:sz w:val="20"/>
                <w:szCs w:val="20"/>
                <w:highlight w:val="white"/>
              </w:rPr>
              <w:t>The behavioral specificity of child-to-parent violence</w:t>
            </w:r>
          </w:p>
        </w:tc>
        <w:tc>
          <w:tcPr>
            <w:tcW w:w="1230" w:type="dxa"/>
            <w:tcBorders>
              <w:bottom w:val="single" w:sz="8" w:space="0" w:color="FFFFFF"/>
              <w:right w:val="single" w:sz="8" w:space="0" w:color="FFFFFF"/>
            </w:tcBorders>
            <w:tcMar>
              <w:top w:w="80" w:type="dxa"/>
              <w:left w:w="100" w:type="dxa"/>
              <w:bottom w:w="80" w:type="dxa"/>
              <w:right w:w="100" w:type="dxa"/>
            </w:tcMar>
          </w:tcPr>
          <w:p w14:paraId="4EFE90C2" w14:textId="77777777" w:rsidR="00020AE8" w:rsidRDefault="00000000">
            <w:pPr>
              <w:spacing w:line="223" w:lineRule="auto"/>
              <w:jc w:val="both"/>
              <w:rPr>
                <w:color w:val="222222"/>
                <w:sz w:val="20"/>
                <w:szCs w:val="20"/>
                <w:highlight w:val="white"/>
              </w:rPr>
            </w:pPr>
            <w:r>
              <w:rPr>
                <w:color w:val="222222"/>
                <w:sz w:val="20"/>
                <w:szCs w:val="20"/>
                <w:highlight w:val="white"/>
              </w:rPr>
              <w:t>España (Tenerife)</w:t>
            </w:r>
          </w:p>
        </w:tc>
        <w:tc>
          <w:tcPr>
            <w:tcW w:w="1125" w:type="dxa"/>
            <w:tcBorders>
              <w:bottom w:val="single" w:sz="8" w:space="0" w:color="FFFFFF"/>
              <w:right w:val="single" w:sz="8" w:space="0" w:color="FFFFFF"/>
            </w:tcBorders>
            <w:tcMar>
              <w:top w:w="80" w:type="dxa"/>
              <w:left w:w="100" w:type="dxa"/>
              <w:bottom w:w="80" w:type="dxa"/>
              <w:right w:w="100" w:type="dxa"/>
            </w:tcMar>
          </w:tcPr>
          <w:p w14:paraId="17044276" w14:textId="77777777" w:rsidR="00020AE8" w:rsidRDefault="00000000">
            <w:pPr>
              <w:spacing w:line="223" w:lineRule="auto"/>
              <w:jc w:val="both"/>
              <w:rPr>
                <w:color w:val="222222"/>
                <w:sz w:val="20"/>
                <w:szCs w:val="20"/>
                <w:highlight w:val="white"/>
              </w:rPr>
            </w:pPr>
            <w:r>
              <w:rPr>
                <w:color w:val="222222"/>
                <w:sz w:val="20"/>
                <w:szCs w:val="20"/>
                <w:highlight w:val="white"/>
              </w:rPr>
              <w:t>Inglés/Español</w:t>
            </w:r>
          </w:p>
        </w:tc>
        <w:tc>
          <w:tcPr>
            <w:tcW w:w="4965" w:type="dxa"/>
            <w:tcBorders>
              <w:bottom w:val="single" w:sz="8" w:space="0" w:color="FFFFFF"/>
              <w:right w:val="single" w:sz="8" w:space="0" w:color="FFFFFF"/>
            </w:tcBorders>
            <w:tcMar>
              <w:top w:w="80" w:type="dxa"/>
              <w:left w:w="100" w:type="dxa"/>
              <w:bottom w:w="80" w:type="dxa"/>
              <w:right w:w="100" w:type="dxa"/>
            </w:tcMar>
          </w:tcPr>
          <w:p w14:paraId="1976767F" w14:textId="77777777" w:rsidR="00020AE8" w:rsidRDefault="00000000">
            <w:pPr>
              <w:spacing w:line="223" w:lineRule="auto"/>
              <w:jc w:val="both"/>
              <w:rPr>
                <w:color w:val="222222"/>
                <w:sz w:val="20"/>
                <w:szCs w:val="20"/>
                <w:highlight w:val="white"/>
              </w:rPr>
            </w:pPr>
            <w:r>
              <w:rPr>
                <w:color w:val="222222"/>
                <w:sz w:val="20"/>
                <w:szCs w:val="20"/>
                <w:highlight w:val="white"/>
              </w:rPr>
              <w:t>La ira hacia la madre predice específicamente la conducta de pegar, multiplicando su probabilidad por 1,48 (OR = 1,479; p = .031), siendo el único predictor emocional-afectivo significativo de esa conducta.</w:t>
            </w:r>
          </w:p>
        </w:tc>
      </w:tr>
      <w:tr w:rsidR="00020AE8" w14:paraId="1CC55587" w14:textId="77777777">
        <w:trPr>
          <w:trHeight w:val="1020"/>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299661D0" w14:textId="77777777" w:rsidR="00020AE8" w:rsidRDefault="00000000">
            <w:pPr>
              <w:spacing w:after="40" w:line="223" w:lineRule="auto"/>
              <w:jc w:val="both"/>
              <w:rPr>
                <w:color w:val="222222"/>
                <w:sz w:val="20"/>
                <w:szCs w:val="20"/>
                <w:highlight w:val="white"/>
              </w:rPr>
            </w:pPr>
            <w:r>
              <w:rPr>
                <w:color w:val="222222"/>
                <w:sz w:val="20"/>
                <w:szCs w:val="20"/>
                <w:highlight w:val="white"/>
              </w:rPr>
              <w:t>Loinaz, Barboni y Ma-de-Sousa (2020)</w:t>
            </w:r>
          </w:p>
          <w:p w14:paraId="0933203D" w14:textId="77777777" w:rsidR="00020AE8" w:rsidRDefault="00000000">
            <w:pPr>
              <w:spacing w:line="223" w:lineRule="auto"/>
              <w:jc w:val="both"/>
              <w:rPr>
                <w:i/>
                <w:iCs/>
                <w:color w:val="222222"/>
                <w:sz w:val="20"/>
                <w:szCs w:val="20"/>
                <w:highlight w:val="white"/>
              </w:rPr>
            </w:pPr>
            <w:r>
              <w:rPr>
                <w:i/>
                <w:iCs/>
                <w:color w:val="222222"/>
                <w:sz w:val="20"/>
                <w:szCs w:val="20"/>
                <w:highlight w:val="white"/>
              </w:rPr>
              <w:t>Gender differences in child-to-parent violence risk factors</w:t>
            </w:r>
          </w:p>
        </w:tc>
        <w:tc>
          <w:tcPr>
            <w:tcW w:w="1230" w:type="dxa"/>
            <w:tcBorders>
              <w:bottom w:val="single" w:sz="8" w:space="0" w:color="FFFFFF"/>
              <w:right w:val="single" w:sz="8" w:space="0" w:color="FFFFFF"/>
            </w:tcBorders>
            <w:tcMar>
              <w:top w:w="80" w:type="dxa"/>
              <w:left w:w="100" w:type="dxa"/>
              <w:bottom w:w="80" w:type="dxa"/>
              <w:right w:w="100" w:type="dxa"/>
            </w:tcMar>
          </w:tcPr>
          <w:p w14:paraId="09687611" w14:textId="77777777" w:rsidR="00020AE8" w:rsidRDefault="00000000">
            <w:pPr>
              <w:spacing w:line="223" w:lineRule="auto"/>
              <w:jc w:val="both"/>
              <w:rPr>
                <w:color w:val="222222"/>
                <w:sz w:val="20"/>
                <w:szCs w:val="20"/>
                <w:highlight w:val="white"/>
              </w:rPr>
            </w:pPr>
            <w:r>
              <w:rPr>
                <w:color w:val="222222"/>
                <w:sz w:val="20"/>
                <w:szCs w:val="20"/>
                <w:highlight w:val="white"/>
              </w:rPr>
              <w:t>España</w:t>
            </w:r>
          </w:p>
        </w:tc>
        <w:tc>
          <w:tcPr>
            <w:tcW w:w="1125" w:type="dxa"/>
            <w:tcBorders>
              <w:bottom w:val="single" w:sz="8" w:space="0" w:color="FFFFFF"/>
              <w:right w:val="single" w:sz="8" w:space="0" w:color="FFFFFF"/>
            </w:tcBorders>
            <w:tcMar>
              <w:top w:w="80" w:type="dxa"/>
              <w:left w:w="100" w:type="dxa"/>
              <w:bottom w:w="80" w:type="dxa"/>
              <w:right w:w="100" w:type="dxa"/>
            </w:tcMar>
          </w:tcPr>
          <w:p w14:paraId="07861C9B" w14:textId="77777777" w:rsidR="00020AE8" w:rsidRDefault="00000000">
            <w:pPr>
              <w:spacing w:line="223" w:lineRule="auto"/>
              <w:jc w:val="both"/>
              <w:rPr>
                <w:color w:val="222222"/>
                <w:sz w:val="20"/>
                <w:szCs w:val="20"/>
                <w:highlight w:val="white"/>
              </w:rPr>
            </w:pPr>
            <w:r>
              <w:rPr>
                <w:color w:val="222222"/>
                <w:sz w:val="20"/>
                <w:szCs w:val="20"/>
                <w:highlight w:val="white"/>
              </w:rPr>
              <w:t>Inglés/Español</w:t>
            </w:r>
          </w:p>
        </w:tc>
        <w:tc>
          <w:tcPr>
            <w:tcW w:w="4965" w:type="dxa"/>
            <w:tcBorders>
              <w:bottom w:val="single" w:sz="8" w:space="0" w:color="FFFFFF"/>
              <w:right w:val="single" w:sz="8" w:space="0" w:color="FFFFFF"/>
            </w:tcBorders>
            <w:tcMar>
              <w:top w:w="80" w:type="dxa"/>
              <w:left w:w="100" w:type="dxa"/>
              <w:bottom w:w="80" w:type="dxa"/>
              <w:right w:w="100" w:type="dxa"/>
            </w:tcMar>
          </w:tcPr>
          <w:p w14:paraId="3F042327" w14:textId="77777777" w:rsidR="00020AE8" w:rsidRDefault="00000000">
            <w:pPr>
              <w:spacing w:line="223" w:lineRule="auto"/>
              <w:jc w:val="both"/>
              <w:rPr>
                <w:color w:val="222222"/>
                <w:sz w:val="20"/>
                <w:szCs w:val="20"/>
                <w:highlight w:val="white"/>
              </w:rPr>
            </w:pPr>
            <w:r>
              <w:rPr>
                <w:color w:val="222222"/>
                <w:sz w:val="20"/>
                <w:szCs w:val="20"/>
                <w:highlight w:val="white"/>
              </w:rPr>
              <w:t>Los factores de desregulación (manejo de la ira, impulsividad, tolerancia a la frustración) no difieren significativamente entre sexos, con prevalencias altas y comparables; las chicas presentan más problemas de autoestima y los chicos más escalada y abuso de sustancias.</w:t>
            </w:r>
          </w:p>
        </w:tc>
      </w:tr>
      <w:tr w:rsidR="00020AE8" w14:paraId="0565A128" w14:textId="77777777">
        <w:trPr>
          <w:trHeight w:val="1020"/>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96EE506" w14:textId="77777777" w:rsidR="00020AE8" w:rsidRDefault="00000000">
            <w:pPr>
              <w:spacing w:after="40" w:line="223" w:lineRule="auto"/>
              <w:jc w:val="both"/>
              <w:rPr>
                <w:color w:val="222222"/>
                <w:sz w:val="20"/>
                <w:szCs w:val="20"/>
                <w:highlight w:val="white"/>
              </w:rPr>
            </w:pPr>
            <w:r>
              <w:rPr>
                <w:color w:val="222222"/>
                <w:sz w:val="20"/>
                <w:szCs w:val="20"/>
                <w:highlight w:val="white"/>
              </w:rPr>
              <w:t>Loinaz y de Sousa (2020)</w:t>
            </w:r>
          </w:p>
          <w:p w14:paraId="0E54EDE0" w14:textId="77777777" w:rsidR="00020AE8" w:rsidRDefault="00000000">
            <w:pPr>
              <w:spacing w:line="223" w:lineRule="auto"/>
              <w:jc w:val="both"/>
              <w:rPr>
                <w:i/>
                <w:iCs/>
                <w:color w:val="222222"/>
                <w:sz w:val="20"/>
                <w:szCs w:val="20"/>
                <w:highlight w:val="white"/>
              </w:rPr>
            </w:pPr>
            <w:r>
              <w:rPr>
                <w:i/>
                <w:iCs/>
                <w:color w:val="222222"/>
                <w:sz w:val="20"/>
                <w:szCs w:val="20"/>
                <w:highlight w:val="white"/>
              </w:rPr>
              <w:t>Assessing risk and protective factors in clinical and judicial child-to-parent violence cases</w:t>
            </w:r>
          </w:p>
        </w:tc>
        <w:tc>
          <w:tcPr>
            <w:tcW w:w="1230" w:type="dxa"/>
            <w:tcBorders>
              <w:bottom w:val="single" w:sz="8" w:space="0" w:color="FFFFFF"/>
              <w:right w:val="single" w:sz="8" w:space="0" w:color="FFFFFF"/>
            </w:tcBorders>
            <w:tcMar>
              <w:top w:w="80" w:type="dxa"/>
              <w:left w:w="100" w:type="dxa"/>
              <w:bottom w:w="80" w:type="dxa"/>
              <w:right w:w="100" w:type="dxa"/>
            </w:tcMar>
          </w:tcPr>
          <w:p w14:paraId="6B3663EB" w14:textId="77777777" w:rsidR="00020AE8" w:rsidRDefault="00000000">
            <w:pPr>
              <w:spacing w:line="223" w:lineRule="auto"/>
              <w:jc w:val="both"/>
              <w:rPr>
                <w:color w:val="222222"/>
                <w:sz w:val="20"/>
                <w:szCs w:val="20"/>
                <w:highlight w:val="white"/>
              </w:rPr>
            </w:pPr>
            <w:r>
              <w:rPr>
                <w:color w:val="222222"/>
                <w:sz w:val="20"/>
                <w:szCs w:val="20"/>
                <w:highlight w:val="white"/>
              </w:rPr>
              <w:t>España</w:t>
            </w:r>
          </w:p>
        </w:tc>
        <w:tc>
          <w:tcPr>
            <w:tcW w:w="1125" w:type="dxa"/>
            <w:tcBorders>
              <w:bottom w:val="single" w:sz="8" w:space="0" w:color="FFFFFF"/>
              <w:right w:val="single" w:sz="8" w:space="0" w:color="FFFFFF"/>
            </w:tcBorders>
            <w:tcMar>
              <w:top w:w="80" w:type="dxa"/>
              <w:left w:w="100" w:type="dxa"/>
              <w:bottom w:w="80" w:type="dxa"/>
              <w:right w:w="100" w:type="dxa"/>
            </w:tcMar>
          </w:tcPr>
          <w:p w14:paraId="20A41B65" w14:textId="77777777" w:rsidR="00020AE8" w:rsidRDefault="00000000">
            <w:pPr>
              <w:spacing w:line="223" w:lineRule="auto"/>
              <w:jc w:val="both"/>
              <w:rPr>
                <w:color w:val="222222"/>
                <w:sz w:val="20"/>
                <w:szCs w:val="20"/>
                <w:highlight w:val="white"/>
              </w:rPr>
            </w:pPr>
            <w:r>
              <w:rPr>
                <w:color w:val="222222"/>
                <w:sz w:val="20"/>
                <w:szCs w:val="20"/>
                <w:highlight w:val="white"/>
              </w:rPr>
              <w:t>Inglés/Español</w:t>
            </w:r>
          </w:p>
        </w:tc>
        <w:tc>
          <w:tcPr>
            <w:tcW w:w="4965" w:type="dxa"/>
            <w:tcBorders>
              <w:bottom w:val="single" w:sz="8" w:space="0" w:color="FFFFFF"/>
              <w:right w:val="single" w:sz="8" w:space="0" w:color="FFFFFF"/>
            </w:tcBorders>
            <w:tcMar>
              <w:top w:w="80" w:type="dxa"/>
              <w:left w:w="100" w:type="dxa"/>
              <w:bottom w:w="80" w:type="dxa"/>
              <w:right w:w="100" w:type="dxa"/>
            </w:tcMar>
          </w:tcPr>
          <w:p w14:paraId="52BBB041" w14:textId="77777777" w:rsidR="00020AE8" w:rsidRDefault="00000000">
            <w:pPr>
              <w:spacing w:line="223" w:lineRule="auto"/>
              <w:jc w:val="both"/>
              <w:rPr>
                <w:color w:val="222222"/>
                <w:sz w:val="20"/>
                <w:szCs w:val="20"/>
                <w:highlight w:val="white"/>
              </w:rPr>
            </w:pPr>
            <w:r>
              <w:rPr>
                <w:color w:val="222222"/>
                <w:sz w:val="20"/>
                <w:szCs w:val="20"/>
                <w:highlight w:val="white"/>
              </w:rPr>
              <w:t>Los factores de desregulación son más prevalentes en los casos judiciales que en los clínicos (manejo de la ira: OR = 5,297; narcisismo: OR = 10,800), salvo la impulsividad, que no difiere entre grupos (83,3% vs 70,5%; p = .185).</w:t>
            </w:r>
          </w:p>
        </w:tc>
      </w:tr>
      <w:tr w:rsidR="00020AE8" w14:paraId="68DCF78D" w14:textId="77777777">
        <w:trPr>
          <w:trHeight w:val="151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26E43275" w14:textId="77777777" w:rsidR="00020AE8" w:rsidRDefault="00000000">
            <w:pPr>
              <w:spacing w:after="40" w:line="223" w:lineRule="auto"/>
              <w:jc w:val="both"/>
              <w:rPr>
                <w:color w:val="222222"/>
                <w:sz w:val="20"/>
                <w:szCs w:val="20"/>
                <w:highlight w:val="white"/>
              </w:rPr>
            </w:pPr>
            <w:r>
              <w:rPr>
                <w:color w:val="222222"/>
                <w:sz w:val="20"/>
                <w:szCs w:val="20"/>
                <w:highlight w:val="white"/>
              </w:rPr>
              <w:lastRenderedPageBreak/>
              <w:t>Del Hoyo-Bilbao, Orue, Gámez-Guadix y Calvete (2020)</w:t>
            </w:r>
          </w:p>
          <w:p w14:paraId="1B706B74" w14:textId="77777777" w:rsidR="00020AE8" w:rsidRDefault="00000000">
            <w:pPr>
              <w:spacing w:line="223" w:lineRule="auto"/>
              <w:jc w:val="both"/>
              <w:rPr>
                <w:i/>
                <w:iCs/>
                <w:color w:val="222222"/>
                <w:sz w:val="20"/>
                <w:szCs w:val="20"/>
                <w:highlight w:val="white"/>
              </w:rPr>
            </w:pPr>
            <w:r>
              <w:rPr>
                <w:i/>
                <w:iCs/>
                <w:color w:val="222222"/>
                <w:sz w:val="20"/>
                <w:szCs w:val="20"/>
                <w:highlight w:val="white"/>
              </w:rPr>
              <w:t>Multivariate models of child-to-mother violence and child-to-father violence among adolescents</w:t>
            </w:r>
          </w:p>
        </w:tc>
        <w:tc>
          <w:tcPr>
            <w:tcW w:w="1230" w:type="dxa"/>
            <w:tcBorders>
              <w:bottom w:val="single" w:sz="8" w:space="0" w:color="FFFFFF"/>
              <w:right w:val="single" w:sz="8" w:space="0" w:color="FFFFFF"/>
            </w:tcBorders>
            <w:tcMar>
              <w:top w:w="80" w:type="dxa"/>
              <w:left w:w="100" w:type="dxa"/>
              <w:bottom w:w="80" w:type="dxa"/>
              <w:right w:w="100" w:type="dxa"/>
            </w:tcMar>
          </w:tcPr>
          <w:p w14:paraId="42D6F66A" w14:textId="77777777" w:rsidR="00020AE8" w:rsidRDefault="00000000">
            <w:pPr>
              <w:spacing w:line="223" w:lineRule="auto"/>
              <w:jc w:val="both"/>
              <w:rPr>
                <w:color w:val="222222"/>
                <w:sz w:val="20"/>
                <w:szCs w:val="20"/>
                <w:highlight w:val="white"/>
              </w:rPr>
            </w:pPr>
            <w:r>
              <w:rPr>
                <w:color w:val="222222"/>
                <w:sz w:val="20"/>
                <w:szCs w:val="20"/>
                <w:highlight w:val="white"/>
              </w:rPr>
              <w:t>España (Bizkaia y Navarra)</w:t>
            </w:r>
          </w:p>
        </w:tc>
        <w:tc>
          <w:tcPr>
            <w:tcW w:w="1125" w:type="dxa"/>
            <w:tcBorders>
              <w:bottom w:val="single" w:sz="8" w:space="0" w:color="FFFFFF"/>
              <w:right w:val="single" w:sz="8" w:space="0" w:color="FFFFFF"/>
            </w:tcBorders>
            <w:tcMar>
              <w:top w:w="80" w:type="dxa"/>
              <w:left w:w="100" w:type="dxa"/>
              <w:bottom w:w="80" w:type="dxa"/>
              <w:right w:w="100" w:type="dxa"/>
            </w:tcMar>
          </w:tcPr>
          <w:p w14:paraId="4BB81FF7" w14:textId="77777777" w:rsidR="00020AE8" w:rsidRDefault="00000000">
            <w:pPr>
              <w:spacing w:line="223" w:lineRule="auto"/>
              <w:jc w:val="both"/>
              <w:rPr>
                <w:color w:val="222222"/>
                <w:sz w:val="20"/>
                <w:szCs w:val="20"/>
                <w:highlight w:val="white"/>
              </w:rPr>
            </w:pPr>
            <w:r>
              <w:rPr>
                <w:color w:val="222222"/>
                <w:sz w:val="20"/>
                <w:szCs w:val="20"/>
                <w:highlight w:val="white"/>
              </w:rPr>
              <w:t>Inglés/Español</w:t>
            </w:r>
          </w:p>
        </w:tc>
        <w:tc>
          <w:tcPr>
            <w:tcW w:w="4965" w:type="dxa"/>
            <w:tcBorders>
              <w:bottom w:val="single" w:sz="8" w:space="0" w:color="FFFFFF"/>
              <w:right w:val="single" w:sz="8" w:space="0" w:color="FFFFFF"/>
            </w:tcBorders>
            <w:tcMar>
              <w:top w:w="80" w:type="dxa"/>
              <w:left w:w="100" w:type="dxa"/>
              <w:bottom w:w="80" w:type="dxa"/>
              <w:right w:w="100" w:type="dxa"/>
            </w:tcMar>
          </w:tcPr>
          <w:p w14:paraId="71AF304D" w14:textId="77777777" w:rsidR="00020AE8" w:rsidRDefault="00000000">
            <w:pPr>
              <w:spacing w:line="223" w:lineRule="auto"/>
              <w:jc w:val="both"/>
              <w:rPr>
                <w:color w:val="222222"/>
                <w:sz w:val="20"/>
                <w:szCs w:val="20"/>
                <w:highlight w:val="white"/>
              </w:rPr>
            </w:pPr>
            <w:r>
              <w:rPr>
                <w:color w:val="222222"/>
                <w:sz w:val="20"/>
                <w:szCs w:val="20"/>
                <w:highlight w:val="white"/>
              </w:rPr>
              <w:t>La impulsividad es uno de los predictores directos más fuertes de la VFP hacia ambos progenitores (β = .27-.33; p &lt; .001); la ira y la inestabilidad emocional actúan de forma indirecta, a través de la impulsividad.</w:t>
            </w:r>
          </w:p>
        </w:tc>
      </w:tr>
      <w:tr w:rsidR="00020AE8" w14:paraId="5C460955" w14:textId="77777777">
        <w:trPr>
          <w:trHeight w:val="151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0011C68D" w14:textId="77777777" w:rsidR="00020AE8" w:rsidRDefault="00000000">
            <w:pPr>
              <w:spacing w:after="40" w:line="223" w:lineRule="auto"/>
              <w:jc w:val="both"/>
              <w:rPr>
                <w:color w:val="222222"/>
                <w:sz w:val="20"/>
                <w:szCs w:val="20"/>
                <w:highlight w:val="white"/>
              </w:rPr>
            </w:pPr>
            <w:r>
              <w:rPr>
                <w:color w:val="222222"/>
                <w:sz w:val="20"/>
                <w:szCs w:val="20"/>
                <w:highlight w:val="white"/>
              </w:rPr>
              <w:t>Martínez-Ferrer, Romero-Abrio, Moreno-Ruiz y Musitu (2018)</w:t>
            </w:r>
          </w:p>
          <w:p w14:paraId="44FAB908" w14:textId="77777777" w:rsidR="00020AE8" w:rsidRDefault="00000000">
            <w:pPr>
              <w:spacing w:line="223" w:lineRule="auto"/>
              <w:jc w:val="both"/>
              <w:rPr>
                <w:i/>
                <w:iCs/>
                <w:color w:val="222222"/>
                <w:sz w:val="20"/>
                <w:szCs w:val="20"/>
                <w:highlight w:val="white"/>
              </w:rPr>
            </w:pPr>
            <w:r>
              <w:rPr>
                <w:i/>
                <w:iCs/>
                <w:color w:val="222222"/>
                <w:sz w:val="20"/>
                <w:szCs w:val="20"/>
                <w:highlight w:val="white"/>
              </w:rPr>
              <w:t>Child-to-Parent Violence and Parenting Styles: Its Relations to Problematic Use of Social Networking Sites, Alexithymia...</w:t>
            </w:r>
          </w:p>
        </w:tc>
        <w:tc>
          <w:tcPr>
            <w:tcW w:w="1230" w:type="dxa"/>
            <w:tcBorders>
              <w:bottom w:val="single" w:sz="8" w:space="0" w:color="FFFFFF"/>
              <w:right w:val="single" w:sz="8" w:space="0" w:color="FFFFFF"/>
            </w:tcBorders>
            <w:tcMar>
              <w:top w:w="80" w:type="dxa"/>
              <w:left w:w="100" w:type="dxa"/>
              <w:bottom w:w="80" w:type="dxa"/>
              <w:right w:w="100" w:type="dxa"/>
            </w:tcMar>
          </w:tcPr>
          <w:p w14:paraId="61994F62" w14:textId="77777777" w:rsidR="00020AE8" w:rsidRDefault="00000000">
            <w:pPr>
              <w:spacing w:line="223" w:lineRule="auto"/>
              <w:jc w:val="both"/>
              <w:rPr>
                <w:color w:val="222222"/>
                <w:sz w:val="20"/>
                <w:szCs w:val="20"/>
                <w:highlight w:val="white"/>
              </w:rPr>
            </w:pPr>
            <w:r>
              <w:rPr>
                <w:color w:val="222222"/>
                <w:sz w:val="20"/>
                <w:szCs w:val="20"/>
                <w:highlight w:val="white"/>
              </w:rPr>
              <w:t>España (Andalucía occidental)</w:t>
            </w:r>
          </w:p>
        </w:tc>
        <w:tc>
          <w:tcPr>
            <w:tcW w:w="1125" w:type="dxa"/>
            <w:tcBorders>
              <w:bottom w:val="single" w:sz="8" w:space="0" w:color="FFFFFF"/>
              <w:right w:val="single" w:sz="8" w:space="0" w:color="FFFFFF"/>
            </w:tcBorders>
            <w:tcMar>
              <w:top w:w="80" w:type="dxa"/>
              <w:left w:w="100" w:type="dxa"/>
              <w:bottom w:w="80" w:type="dxa"/>
              <w:right w:w="100" w:type="dxa"/>
            </w:tcMar>
          </w:tcPr>
          <w:p w14:paraId="51874428"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4D4E9F67" w14:textId="77777777" w:rsidR="00020AE8" w:rsidRDefault="00000000">
            <w:pPr>
              <w:spacing w:line="223" w:lineRule="auto"/>
              <w:jc w:val="both"/>
              <w:rPr>
                <w:color w:val="222222"/>
                <w:sz w:val="20"/>
                <w:szCs w:val="20"/>
                <w:highlight w:val="white"/>
              </w:rPr>
            </w:pPr>
            <w:r>
              <w:rPr>
                <w:color w:val="222222"/>
                <w:sz w:val="20"/>
                <w:szCs w:val="20"/>
                <w:highlight w:val="white"/>
              </w:rPr>
              <w:t>La VFP alta se asocia con mayor alexitimia (M = 3,38 vs 2,47; p &lt; .001); la interacción VFP × género × alexitimia muestra que las chicas presentan mayor dificultad para identificar emociones que los chicos (M = 3,73 vs 2,97; p &lt; .001).</w:t>
            </w:r>
          </w:p>
        </w:tc>
      </w:tr>
      <w:tr w:rsidR="00020AE8" w14:paraId="4EC094BE" w14:textId="77777777">
        <w:trPr>
          <w:trHeight w:val="118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05E0F6B2" w14:textId="77777777" w:rsidR="00020AE8" w:rsidRDefault="00000000">
            <w:pPr>
              <w:spacing w:after="40" w:line="223" w:lineRule="auto"/>
              <w:jc w:val="both"/>
              <w:rPr>
                <w:color w:val="222222"/>
                <w:sz w:val="20"/>
                <w:szCs w:val="20"/>
                <w:highlight w:val="white"/>
              </w:rPr>
            </w:pPr>
            <w:r>
              <w:rPr>
                <w:color w:val="222222"/>
                <w:sz w:val="20"/>
                <w:szCs w:val="20"/>
                <w:highlight w:val="white"/>
              </w:rPr>
              <w:t>Contreras y Cano (2016)</w:t>
            </w:r>
          </w:p>
          <w:p w14:paraId="2264C4F6" w14:textId="77777777" w:rsidR="00020AE8" w:rsidRDefault="00000000">
            <w:pPr>
              <w:spacing w:line="223" w:lineRule="auto"/>
              <w:jc w:val="both"/>
              <w:rPr>
                <w:i/>
                <w:iCs/>
                <w:color w:val="222222"/>
                <w:sz w:val="20"/>
                <w:szCs w:val="20"/>
                <w:highlight w:val="white"/>
              </w:rPr>
            </w:pPr>
            <w:r>
              <w:rPr>
                <w:i/>
                <w:iCs/>
                <w:color w:val="222222"/>
                <w:sz w:val="20"/>
                <w:szCs w:val="20"/>
                <w:highlight w:val="white"/>
              </w:rPr>
              <w:t>Child-to-parent violence: The role of exposure to violence and its relationship to social-cognitive processing</w:t>
            </w:r>
          </w:p>
        </w:tc>
        <w:tc>
          <w:tcPr>
            <w:tcW w:w="1230" w:type="dxa"/>
            <w:tcBorders>
              <w:bottom w:val="single" w:sz="8" w:space="0" w:color="FFFFFF"/>
              <w:right w:val="single" w:sz="8" w:space="0" w:color="FFFFFF"/>
            </w:tcBorders>
            <w:tcMar>
              <w:top w:w="80" w:type="dxa"/>
              <w:left w:w="100" w:type="dxa"/>
              <w:bottom w:w="80" w:type="dxa"/>
              <w:right w:w="100" w:type="dxa"/>
            </w:tcMar>
          </w:tcPr>
          <w:p w14:paraId="0EE4D0FC" w14:textId="77777777" w:rsidR="00020AE8" w:rsidRDefault="00000000">
            <w:pPr>
              <w:spacing w:line="223" w:lineRule="auto"/>
              <w:jc w:val="both"/>
              <w:rPr>
                <w:color w:val="222222"/>
                <w:sz w:val="20"/>
                <w:szCs w:val="20"/>
                <w:highlight w:val="white"/>
              </w:rPr>
            </w:pPr>
            <w:r>
              <w:rPr>
                <w:color w:val="222222"/>
                <w:sz w:val="20"/>
                <w:szCs w:val="20"/>
                <w:highlight w:val="white"/>
              </w:rPr>
              <w:t>España (Jaén)</w:t>
            </w:r>
          </w:p>
        </w:tc>
        <w:tc>
          <w:tcPr>
            <w:tcW w:w="1125" w:type="dxa"/>
            <w:tcBorders>
              <w:bottom w:val="single" w:sz="8" w:space="0" w:color="FFFFFF"/>
              <w:right w:val="single" w:sz="8" w:space="0" w:color="FFFFFF"/>
            </w:tcBorders>
            <w:tcMar>
              <w:top w:w="80" w:type="dxa"/>
              <w:left w:w="100" w:type="dxa"/>
              <w:bottom w:w="80" w:type="dxa"/>
              <w:right w:w="100" w:type="dxa"/>
            </w:tcMar>
          </w:tcPr>
          <w:p w14:paraId="7B320F30"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4A7D94C1" w14:textId="77777777" w:rsidR="00020AE8" w:rsidRDefault="00000000">
            <w:pPr>
              <w:spacing w:line="223" w:lineRule="auto"/>
              <w:jc w:val="both"/>
              <w:rPr>
                <w:color w:val="222222"/>
                <w:sz w:val="20"/>
                <w:szCs w:val="20"/>
                <w:highlight w:val="white"/>
              </w:rPr>
            </w:pPr>
            <w:r>
              <w:rPr>
                <w:color w:val="222222"/>
                <w:sz w:val="20"/>
                <w:szCs w:val="20"/>
                <w:highlight w:val="white"/>
              </w:rPr>
              <w:t>En el grupo VFP no se halla relación entre la exposición a la violencia y la impulsividad; esta correlación solo aparece en el grupo de otros infractores (r = .45; p &lt; .05). La exposición a la violencia en el hogar es el mejor predictor de VFP (OR = 1,21; p &lt; .001).</w:t>
            </w:r>
          </w:p>
        </w:tc>
      </w:tr>
      <w:tr w:rsidR="00020AE8" w14:paraId="2426D751" w14:textId="77777777">
        <w:trPr>
          <w:trHeight w:val="1185"/>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D1714B0" w14:textId="77777777" w:rsidR="00020AE8" w:rsidRDefault="00000000">
            <w:pPr>
              <w:spacing w:after="40" w:line="223" w:lineRule="auto"/>
              <w:jc w:val="both"/>
              <w:rPr>
                <w:color w:val="222222"/>
                <w:sz w:val="20"/>
                <w:szCs w:val="20"/>
                <w:highlight w:val="white"/>
              </w:rPr>
            </w:pPr>
            <w:r>
              <w:rPr>
                <w:color w:val="222222"/>
                <w:sz w:val="20"/>
                <w:szCs w:val="20"/>
                <w:highlight w:val="white"/>
              </w:rPr>
              <w:t>Gao, Kong, Zhang y Wang (2026)</w:t>
            </w:r>
          </w:p>
          <w:p w14:paraId="098191B6" w14:textId="77777777" w:rsidR="00020AE8" w:rsidRDefault="00000000">
            <w:pPr>
              <w:spacing w:line="223" w:lineRule="auto"/>
              <w:jc w:val="both"/>
              <w:rPr>
                <w:i/>
                <w:iCs/>
                <w:color w:val="222222"/>
                <w:sz w:val="20"/>
                <w:szCs w:val="20"/>
                <w:highlight w:val="white"/>
              </w:rPr>
            </w:pPr>
            <w:r>
              <w:rPr>
                <w:i/>
                <w:iCs/>
                <w:color w:val="222222"/>
                <w:sz w:val="20"/>
                <w:szCs w:val="20"/>
                <w:highlight w:val="white"/>
              </w:rPr>
              <w:t>Lifting the Veil of Silence: Parental Harsh Discipline Predicts Adolescent-to-Parent Violence</w:t>
            </w:r>
          </w:p>
        </w:tc>
        <w:tc>
          <w:tcPr>
            <w:tcW w:w="1230" w:type="dxa"/>
            <w:tcBorders>
              <w:bottom w:val="single" w:sz="8" w:space="0" w:color="FFFFFF"/>
              <w:right w:val="single" w:sz="8" w:space="0" w:color="FFFFFF"/>
            </w:tcBorders>
            <w:tcMar>
              <w:top w:w="80" w:type="dxa"/>
              <w:left w:w="100" w:type="dxa"/>
              <w:bottom w:w="80" w:type="dxa"/>
              <w:right w:w="100" w:type="dxa"/>
            </w:tcMar>
          </w:tcPr>
          <w:p w14:paraId="4ABFAA90" w14:textId="77777777" w:rsidR="00020AE8" w:rsidRDefault="00000000">
            <w:pPr>
              <w:spacing w:line="223" w:lineRule="auto"/>
              <w:jc w:val="both"/>
              <w:rPr>
                <w:color w:val="222222"/>
                <w:sz w:val="20"/>
                <w:szCs w:val="20"/>
                <w:highlight w:val="white"/>
              </w:rPr>
            </w:pPr>
            <w:r>
              <w:rPr>
                <w:color w:val="222222"/>
                <w:sz w:val="20"/>
                <w:szCs w:val="20"/>
                <w:highlight w:val="white"/>
              </w:rPr>
              <w:t>China (Henan y Guangxi)</w:t>
            </w:r>
          </w:p>
        </w:tc>
        <w:tc>
          <w:tcPr>
            <w:tcW w:w="1125" w:type="dxa"/>
            <w:tcBorders>
              <w:bottom w:val="single" w:sz="8" w:space="0" w:color="FFFFFF"/>
              <w:right w:val="single" w:sz="8" w:space="0" w:color="FFFFFF"/>
            </w:tcBorders>
            <w:tcMar>
              <w:top w:w="80" w:type="dxa"/>
              <w:left w:w="100" w:type="dxa"/>
              <w:bottom w:w="80" w:type="dxa"/>
              <w:right w:w="100" w:type="dxa"/>
            </w:tcMar>
          </w:tcPr>
          <w:p w14:paraId="35FF400A"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1C487E6D" w14:textId="77777777" w:rsidR="00020AE8" w:rsidRDefault="00000000">
            <w:pPr>
              <w:spacing w:line="223" w:lineRule="auto"/>
              <w:jc w:val="both"/>
              <w:rPr>
                <w:color w:val="222222"/>
                <w:sz w:val="20"/>
                <w:szCs w:val="20"/>
                <w:highlight w:val="white"/>
              </w:rPr>
            </w:pPr>
            <w:r>
              <w:rPr>
                <w:color w:val="222222"/>
                <w:sz w:val="20"/>
                <w:szCs w:val="20"/>
                <w:highlight w:val="white"/>
              </w:rPr>
              <w:t>La impulsividad modera el efecto de la disciplina parental severa sobre la VFP (interacción b = 0,13; p &lt; .001) y el de la desconexión moral (b = 0,07; p &lt; .001); el efecto indirecto vía desconexión moral es mayor en adolescentes más impulsivos.</w:t>
            </w:r>
          </w:p>
        </w:tc>
      </w:tr>
      <w:tr w:rsidR="00020AE8" w14:paraId="76E0303E" w14:textId="77777777">
        <w:trPr>
          <w:trHeight w:val="1350"/>
        </w:trPr>
        <w:tc>
          <w:tcPr>
            <w:tcW w:w="244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011F0F5A" w14:textId="77777777" w:rsidR="00020AE8" w:rsidRDefault="00000000">
            <w:pPr>
              <w:spacing w:after="40" w:line="223" w:lineRule="auto"/>
              <w:jc w:val="both"/>
              <w:rPr>
                <w:color w:val="222222"/>
                <w:sz w:val="20"/>
                <w:szCs w:val="20"/>
                <w:highlight w:val="white"/>
              </w:rPr>
            </w:pPr>
            <w:r>
              <w:rPr>
                <w:color w:val="222222"/>
                <w:sz w:val="20"/>
                <w:szCs w:val="20"/>
                <w:highlight w:val="white"/>
              </w:rPr>
              <w:t>Baker, Radford, Harbin y Barter (2025)</w:t>
            </w:r>
          </w:p>
          <w:p w14:paraId="1F9CA9C4" w14:textId="77777777" w:rsidR="00020AE8" w:rsidRDefault="00000000">
            <w:pPr>
              <w:spacing w:line="223" w:lineRule="auto"/>
              <w:jc w:val="both"/>
              <w:rPr>
                <w:i/>
                <w:iCs/>
                <w:color w:val="222222"/>
                <w:sz w:val="20"/>
                <w:szCs w:val="20"/>
                <w:highlight w:val="white"/>
              </w:rPr>
            </w:pPr>
            <w:r>
              <w:rPr>
                <w:i/>
                <w:iCs/>
                <w:color w:val="222222"/>
                <w:sz w:val="20"/>
                <w:szCs w:val="20"/>
                <w:highlight w:val="white"/>
              </w:rPr>
              <w:t>Young People's Accounts of their Violence and Abuse Towards Parents: Causes, Contexts, and Motivations</w:t>
            </w:r>
          </w:p>
        </w:tc>
        <w:tc>
          <w:tcPr>
            <w:tcW w:w="1230" w:type="dxa"/>
            <w:tcBorders>
              <w:bottom w:val="single" w:sz="8" w:space="0" w:color="FFFFFF"/>
              <w:right w:val="single" w:sz="8" w:space="0" w:color="FFFFFF"/>
            </w:tcBorders>
            <w:tcMar>
              <w:top w:w="80" w:type="dxa"/>
              <w:left w:w="100" w:type="dxa"/>
              <w:bottom w:w="80" w:type="dxa"/>
              <w:right w:w="100" w:type="dxa"/>
            </w:tcMar>
          </w:tcPr>
          <w:p w14:paraId="58299547" w14:textId="77777777" w:rsidR="00020AE8" w:rsidRDefault="00000000">
            <w:pPr>
              <w:spacing w:line="223" w:lineRule="auto"/>
              <w:jc w:val="both"/>
              <w:rPr>
                <w:color w:val="222222"/>
                <w:sz w:val="20"/>
                <w:szCs w:val="20"/>
                <w:highlight w:val="white"/>
              </w:rPr>
            </w:pPr>
            <w:r>
              <w:rPr>
                <w:color w:val="222222"/>
                <w:sz w:val="20"/>
                <w:szCs w:val="20"/>
                <w:highlight w:val="white"/>
              </w:rPr>
              <w:t>Reino Unido (Inglaterra)</w:t>
            </w:r>
          </w:p>
        </w:tc>
        <w:tc>
          <w:tcPr>
            <w:tcW w:w="1125" w:type="dxa"/>
            <w:tcBorders>
              <w:bottom w:val="single" w:sz="8" w:space="0" w:color="FFFFFF"/>
              <w:right w:val="single" w:sz="8" w:space="0" w:color="FFFFFF"/>
            </w:tcBorders>
            <w:tcMar>
              <w:top w:w="80" w:type="dxa"/>
              <w:left w:w="100" w:type="dxa"/>
              <w:bottom w:w="80" w:type="dxa"/>
              <w:right w:w="100" w:type="dxa"/>
            </w:tcMar>
          </w:tcPr>
          <w:p w14:paraId="4E50984D"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FFFFFF"/>
              <w:right w:val="single" w:sz="8" w:space="0" w:color="FFFFFF"/>
            </w:tcBorders>
            <w:tcMar>
              <w:top w:w="80" w:type="dxa"/>
              <w:left w:w="100" w:type="dxa"/>
              <w:bottom w:w="80" w:type="dxa"/>
              <w:right w:w="100" w:type="dxa"/>
            </w:tcMar>
          </w:tcPr>
          <w:p w14:paraId="04EF997E" w14:textId="77777777" w:rsidR="00020AE8" w:rsidRDefault="00000000">
            <w:pPr>
              <w:spacing w:line="223" w:lineRule="auto"/>
              <w:jc w:val="both"/>
              <w:rPr>
                <w:color w:val="222222"/>
                <w:sz w:val="20"/>
                <w:szCs w:val="20"/>
                <w:highlight w:val="white"/>
              </w:rPr>
            </w:pPr>
            <w:r>
              <w:rPr>
                <w:color w:val="222222"/>
                <w:sz w:val="20"/>
                <w:szCs w:val="20"/>
                <w:highlight w:val="white"/>
              </w:rPr>
              <w:t>La dificultad para regular las emociones es uno de los cinco temas centrales de la VFP; los jóvenes la describen como el mecanismo por el cual el trauma deriva en violencia, a través de “evaluaciones de amenaza hiperactivas” ante estresores parentales.</w:t>
            </w:r>
          </w:p>
        </w:tc>
      </w:tr>
      <w:tr w:rsidR="00020AE8" w14:paraId="6108E397" w14:textId="77777777">
        <w:trPr>
          <w:trHeight w:val="1515"/>
        </w:trPr>
        <w:tc>
          <w:tcPr>
            <w:tcW w:w="2445" w:type="dxa"/>
            <w:tcBorders>
              <w:left w:val="single" w:sz="8" w:space="0" w:color="FFFFFF"/>
              <w:bottom w:val="single" w:sz="8" w:space="0" w:color="000000"/>
              <w:right w:val="single" w:sz="8" w:space="0" w:color="FFFFFF"/>
            </w:tcBorders>
            <w:tcMar>
              <w:top w:w="80" w:type="dxa"/>
              <w:left w:w="100" w:type="dxa"/>
              <w:bottom w:w="80" w:type="dxa"/>
              <w:right w:w="100" w:type="dxa"/>
            </w:tcMar>
          </w:tcPr>
          <w:p w14:paraId="11A7A094" w14:textId="77777777" w:rsidR="00020AE8" w:rsidRDefault="00000000">
            <w:pPr>
              <w:spacing w:after="40" w:line="223" w:lineRule="auto"/>
              <w:jc w:val="both"/>
              <w:rPr>
                <w:color w:val="222222"/>
                <w:sz w:val="20"/>
                <w:szCs w:val="20"/>
                <w:highlight w:val="white"/>
              </w:rPr>
            </w:pPr>
            <w:r>
              <w:rPr>
                <w:color w:val="222222"/>
                <w:sz w:val="20"/>
                <w:szCs w:val="20"/>
                <w:highlight w:val="white"/>
              </w:rPr>
              <w:t>Navas-Martínez y Cano-Lozano (2023)</w:t>
            </w:r>
          </w:p>
          <w:p w14:paraId="66C81086" w14:textId="77777777" w:rsidR="00020AE8" w:rsidRDefault="00000000">
            <w:pPr>
              <w:spacing w:line="223" w:lineRule="auto"/>
              <w:jc w:val="both"/>
              <w:rPr>
                <w:i/>
                <w:iCs/>
                <w:color w:val="222222"/>
                <w:sz w:val="20"/>
                <w:szCs w:val="20"/>
                <w:highlight w:val="white"/>
              </w:rPr>
            </w:pPr>
            <w:r>
              <w:rPr>
                <w:i/>
                <w:iCs/>
                <w:color w:val="222222"/>
                <w:sz w:val="20"/>
                <w:szCs w:val="20"/>
                <w:highlight w:val="white"/>
              </w:rPr>
              <w:t>Risk Factors in Specialists and Generalists of Child-to-Parent Violence: Gender Differences and Predictors of Reactive and Proactive Reasons</w:t>
            </w:r>
          </w:p>
        </w:tc>
        <w:tc>
          <w:tcPr>
            <w:tcW w:w="1230" w:type="dxa"/>
            <w:tcBorders>
              <w:bottom w:val="single" w:sz="8" w:space="0" w:color="000000"/>
              <w:right w:val="single" w:sz="8" w:space="0" w:color="FFFFFF"/>
            </w:tcBorders>
            <w:tcMar>
              <w:top w:w="80" w:type="dxa"/>
              <w:left w:w="100" w:type="dxa"/>
              <w:bottom w:w="80" w:type="dxa"/>
              <w:right w:w="100" w:type="dxa"/>
            </w:tcMar>
          </w:tcPr>
          <w:p w14:paraId="242EDED1" w14:textId="77777777" w:rsidR="00020AE8" w:rsidRDefault="00000000">
            <w:pPr>
              <w:spacing w:line="223" w:lineRule="auto"/>
              <w:jc w:val="both"/>
              <w:rPr>
                <w:color w:val="222222"/>
                <w:sz w:val="20"/>
                <w:szCs w:val="20"/>
                <w:highlight w:val="white"/>
              </w:rPr>
            </w:pPr>
            <w:r>
              <w:rPr>
                <w:color w:val="222222"/>
                <w:sz w:val="20"/>
                <w:szCs w:val="20"/>
                <w:highlight w:val="white"/>
              </w:rPr>
              <w:t>España</w:t>
            </w:r>
          </w:p>
        </w:tc>
        <w:tc>
          <w:tcPr>
            <w:tcW w:w="1125" w:type="dxa"/>
            <w:tcBorders>
              <w:bottom w:val="single" w:sz="8" w:space="0" w:color="000000"/>
              <w:right w:val="single" w:sz="8" w:space="0" w:color="FFFFFF"/>
            </w:tcBorders>
            <w:tcMar>
              <w:top w:w="80" w:type="dxa"/>
              <w:left w:w="100" w:type="dxa"/>
              <w:bottom w:w="80" w:type="dxa"/>
              <w:right w:w="100" w:type="dxa"/>
            </w:tcMar>
          </w:tcPr>
          <w:p w14:paraId="3526AE40" w14:textId="77777777" w:rsidR="00020AE8" w:rsidRDefault="00000000">
            <w:pPr>
              <w:spacing w:line="223" w:lineRule="auto"/>
              <w:jc w:val="both"/>
              <w:rPr>
                <w:color w:val="222222"/>
                <w:sz w:val="20"/>
                <w:szCs w:val="20"/>
                <w:highlight w:val="white"/>
              </w:rPr>
            </w:pPr>
            <w:r>
              <w:rPr>
                <w:color w:val="222222"/>
                <w:sz w:val="20"/>
                <w:szCs w:val="20"/>
                <w:highlight w:val="white"/>
              </w:rPr>
              <w:t>Inglés</w:t>
            </w:r>
          </w:p>
        </w:tc>
        <w:tc>
          <w:tcPr>
            <w:tcW w:w="4965" w:type="dxa"/>
            <w:tcBorders>
              <w:bottom w:val="single" w:sz="8" w:space="0" w:color="000000"/>
              <w:right w:val="single" w:sz="8" w:space="0" w:color="FFFFFF"/>
            </w:tcBorders>
            <w:tcMar>
              <w:top w:w="80" w:type="dxa"/>
              <w:left w:w="100" w:type="dxa"/>
              <w:bottom w:w="80" w:type="dxa"/>
              <w:right w:w="100" w:type="dxa"/>
            </w:tcMar>
          </w:tcPr>
          <w:p w14:paraId="27F79B2D" w14:textId="77777777" w:rsidR="00020AE8" w:rsidRDefault="00000000">
            <w:pPr>
              <w:spacing w:line="223" w:lineRule="auto"/>
              <w:jc w:val="both"/>
              <w:rPr>
                <w:color w:val="222222"/>
                <w:sz w:val="20"/>
                <w:szCs w:val="20"/>
                <w:highlight w:val="white"/>
              </w:rPr>
            </w:pPr>
            <w:r>
              <w:rPr>
                <w:color w:val="222222"/>
                <w:sz w:val="20"/>
                <w:szCs w:val="20"/>
                <w:highlight w:val="white"/>
              </w:rPr>
              <w:t>La baja regulación emocional es la única dimensión de inteligencia emocional que predice la VFP en especialistas y generalistas, con mayor peso para la VFP reactiva (β = -0,24 a -0,27) que para la proactiva (β = -0,08 a -0,19).</w:t>
            </w:r>
          </w:p>
        </w:tc>
      </w:tr>
    </w:tbl>
    <w:p w14:paraId="2D0FF452" w14:textId="77777777" w:rsidR="00020AE8" w:rsidRDefault="00000000">
      <w:pPr>
        <w:spacing w:before="160"/>
        <w:ind w:left="-283" w:right="-279"/>
        <w:jc w:val="both"/>
        <w:rPr>
          <w:color w:val="222222"/>
          <w:sz w:val="20"/>
          <w:szCs w:val="20"/>
          <w:highlight w:val="white"/>
        </w:rPr>
      </w:pPr>
      <w:r>
        <w:rPr>
          <w:i/>
          <w:iCs/>
          <w:color w:val="222222"/>
          <w:sz w:val="20"/>
          <w:szCs w:val="20"/>
          <w:highlight w:val="white"/>
        </w:rPr>
        <w:t xml:space="preserve">Nota. </w:t>
      </w:r>
      <w:r>
        <w:rPr>
          <w:color w:val="222222"/>
          <w:sz w:val="20"/>
          <w:szCs w:val="20"/>
          <w:highlight w:val="white"/>
        </w:rPr>
        <w:t>VFP = Violencia Filio-Parental. Todos los estadísticos consignados proceden de los propios estudios primarios, sin reinterpretación. Loinaz, Barboni y Ma-de-Sousa (2020) y Loinaz y de Sousa (2020) analizan, con distinto foco, la misma muestra base de aproximadamente 91 casos, por lo que deben tratarse como dependientes y no sumarse como evidencia independiente en la síntesis.</w:t>
      </w:r>
    </w:p>
    <w:p w14:paraId="581CA6CF" w14:textId="77777777" w:rsidR="00020AE8" w:rsidRDefault="00020AE8">
      <w:pPr>
        <w:spacing w:line="360" w:lineRule="auto"/>
        <w:jc w:val="both"/>
        <w:rPr>
          <w:b/>
          <w:bCs/>
          <w:color w:val="222222"/>
          <w:highlight w:val="white"/>
        </w:rPr>
      </w:pPr>
    </w:p>
    <w:p w14:paraId="5E3835CE" w14:textId="77777777" w:rsidR="00020AE8" w:rsidRDefault="00000000">
      <w:pPr>
        <w:spacing w:line="360" w:lineRule="auto"/>
        <w:rPr>
          <w:b/>
          <w:bCs/>
          <w:color w:val="222222"/>
          <w:highlight w:val="white"/>
        </w:rPr>
      </w:pPr>
      <w:r>
        <w:rPr>
          <w:b/>
          <w:bCs/>
          <w:color w:val="222222"/>
          <w:highlight w:val="white"/>
        </w:rPr>
        <w:t>Tabla 2</w:t>
      </w:r>
    </w:p>
    <w:p w14:paraId="2D74FB2D" w14:textId="77777777" w:rsidR="00020AE8" w:rsidRDefault="00000000">
      <w:pPr>
        <w:spacing w:after="160" w:line="360" w:lineRule="auto"/>
        <w:rPr>
          <w:i/>
          <w:iCs/>
          <w:color w:val="222222"/>
          <w:highlight w:val="white"/>
        </w:rPr>
      </w:pPr>
      <w:r>
        <w:rPr>
          <w:i/>
          <w:iCs/>
          <w:color w:val="222222"/>
          <w:highlight w:val="white"/>
        </w:rPr>
        <w:t>Características metodológicas de los estudios incluidos (N = 18)</w:t>
      </w:r>
    </w:p>
    <w:tbl>
      <w:tblPr>
        <w:tblStyle w:val="a0"/>
        <w:tblW w:w="9660"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90"/>
        <w:gridCol w:w="3015"/>
        <w:gridCol w:w="2265"/>
        <w:gridCol w:w="2490"/>
      </w:tblGrid>
      <w:tr w:rsidR="00020AE8" w14:paraId="10DBCA30" w14:textId="77777777">
        <w:trPr>
          <w:trHeight w:val="615"/>
        </w:trPr>
        <w:tc>
          <w:tcPr>
            <w:tcW w:w="1890" w:type="dxa"/>
            <w:tcBorders>
              <w:top w:val="single" w:sz="8" w:space="0" w:color="FFFFFF"/>
              <w:left w:val="single" w:sz="8" w:space="0" w:color="FFFFFF"/>
              <w:bottom w:val="single" w:sz="8" w:space="0" w:color="000000"/>
              <w:right w:val="single" w:sz="8" w:space="0" w:color="FFFFFF"/>
            </w:tcBorders>
            <w:tcMar>
              <w:top w:w="80" w:type="dxa"/>
              <w:left w:w="100" w:type="dxa"/>
              <w:bottom w:w="80" w:type="dxa"/>
              <w:right w:w="100" w:type="dxa"/>
            </w:tcMar>
            <w:vAlign w:val="bottom"/>
          </w:tcPr>
          <w:p w14:paraId="7BD4B0EE"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Estudio</w:t>
            </w:r>
          </w:p>
        </w:tc>
        <w:tc>
          <w:tcPr>
            <w:tcW w:w="3015"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29949485"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Diseño y muestra</w:t>
            </w:r>
          </w:p>
        </w:tc>
        <w:tc>
          <w:tcPr>
            <w:tcW w:w="2265"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4412881C"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Instrumento de desregulación / proxy</w:t>
            </w:r>
          </w:p>
        </w:tc>
        <w:tc>
          <w:tcPr>
            <w:tcW w:w="2490"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15FC7331"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Instrumento de VFP</w:t>
            </w:r>
          </w:p>
        </w:tc>
      </w:tr>
      <w:tr w:rsidR="00020AE8" w14:paraId="6E33F8E9" w14:textId="77777777">
        <w:trPr>
          <w:trHeight w:val="144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AE84D6E" w14:textId="77777777" w:rsidR="00020AE8" w:rsidRDefault="00000000">
            <w:pPr>
              <w:jc w:val="both"/>
              <w:rPr>
                <w:color w:val="222222"/>
                <w:sz w:val="20"/>
                <w:szCs w:val="20"/>
                <w:highlight w:val="white"/>
              </w:rPr>
            </w:pPr>
            <w:r>
              <w:rPr>
                <w:color w:val="222222"/>
                <w:sz w:val="20"/>
                <w:szCs w:val="20"/>
                <w:highlight w:val="white"/>
              </w:rPr>
              <w:lastRenderedPageBreak/>
              <w:t>Jiménez García-Escribano (2020)</w:t>
            </w:r>
          </w:p>
        </w:tc>
        <w:tc>
          <w:tcPr>
            <w:tcW w:w="3015" w:type="dxa"/>
            <w:tcBorders>
              <w:bottom w:val="single" w:sz="8" w:space="0" w:color="FFFFFF"/>
              <w:right w:val="single" w:sz="8" w:space="0" w:color="FFFFFF"/>
            </w:tcBorders>
            <w:tcMar>
              <w:top w:w="80" w:type="dxa"/>
              <w:left w:w="100" w:type="dxa"/>
              <w:bottom w:w="80" w:type="dxa"/>
              <w:right w:w="100" w:type="dxa"/>
            </w:tcMar>
          </w:tcPr>
          <w:p w14:paraId="1CEF656E" w14:textId="77777777" w:rsidR="00020AE8" w:rsidRDefault="00000000">
            <w:pPr>
              <w:spacing w:after="40"/>
              <w:jc w:val="both"/>
              <w:rPr>
                <w:color w:val="222222"/>
                <w:sz w:val="20"/>
                <w:szCs w:val="20"/>
                <w:highlight w:val="white"/>
              </w:rPr>
            </w:pPr>
            <w:r>
              <w:rPr>
                <w:color w:val="222222"/>
                <w:sz w:val="20"/>
                <w:szCs w:val="20"/>
                <w:highlight w:val="white"/>
              </w:rPr>
              <w:t>Diseño: Transversal, correlacional y comparativo (VFP sí/no); 5 estudios, 2 muestras</w:t>
            </w:r>
          </w:p>
          <w:p w14:paraId="2712F917" w14:textId="77777777" w:rsidR="00020AE8" w:rsidRDefault="00000000">
            <w:pPr>
              <w:spacing w:after="40"/>
              <w:jc w:val="both"/>
              <w:rPr>
                <w:color w:val="222222"/>
                <w:sz w:val="20"/>
                <w:szCs w:val="20"/>
                <w:highlight w:val="white"/>
              </w:rPr>
            </w:pPr>
            <w:r>
              <w:rPr>
                <w:color w:val="222222"/>
                <w:sz w:val="20"/>
                <w:szCs w:val="20"/>
                <w:highlight w:val="white"/>
              </w:rPr>
              <w:t>n = 1.728 (905 + 823)</w:t>
            </w:r>
          </w:p>
          <w:p w14:paraId="1DEAAFD0" w14:textId="77777777" w:rsidR="00020AE8" w:rsidRDefault="00000000">
            <w:pPr>
              <w:spacing w:after="40"/>
              <w:jc w:val="both"/>
              <w:rPr>
                <w:color w:val="222222"/>
                <w:sz w:val="20"/>
                <w:szCs w:val="20"/>
                <w:highlight w:val="white"/>
              </w:rPr>
            </w:pPr>
            <w:r>
              <w:rPr>
                <w:color w:val="222222"/>
                <w:sz w:val="20"/>
                <w:szCs w:val="20"/>
                <w:highlight w:val="white"/>
              </w:rPr>
              <w:t>Edad: M = 15,05 / M = 20,66</w:t>
            </w:r>
          </w:p>
          <w:p w14:paraId="4F678AD7" w14:textId="77777777" w:rsidR="00020AE8" w:rsidRDefault="00000000">
            <w:pPr>
              <w:jc w:val="both"/>
              <w:rPr>
                <w:color w:val="222222"/>
                <w:sz w:val="20"/>
                <w:szCs w:val="20"/>
                <w:highlight w:val="white"/>
              </w:rPr>
            </w:pPr>
            <w:r>
              <w:rPr>
                <w:color w:val="222222"/>
                <w:sz w:val="20"/>
                <w:szCs w:val="20"/>
                <w:highlight w:val="white"/>
              </w:rPr>
              <w:t>Población: Comunitaria (escolar y universitaria), Chile</w:t>
            </w:r>
          </w:p>
        </w:tc>
        <w:tc>
          <w:tcPr>
            <w:tcW w:w="2265" w:type="dxa"/>
            <w:tcBorders>
              <w:bottom w:val="single" w:sz="8" w:space="0" w:color="FFFFFF"/>
              <w:right w:val="single" w:sz="8" w:space="0" w:color="FFFFFF"/>
            </w:tcBorders>
            <w:tcMar>
              <w:top w:w="80" w:type="dxa"/>
              <w:left w:w="100" w:type="dxa"/>
              <w:bottom w:w="80" w:type="dxa"/>
              <w:right w:w="100" w:type="dxa"/>
            </w:tcMar>
          </w:tcPr>
          <w:p w14:paraId="5246307F" w14:textId="77777777" w:rsidR="00020AE8" w:rsidRDefault="00000000">
            <w:pPr>
              <w:jc w:val="both"/>
              <w:rPr>
                <w:color w:val="222222"/>
                <w:sz w:val="20"/>
                <w:szCs w:val="20"/>
                <w:highlight w:val="white"/>
              </w:rPr>
            </w:pPr>
            <w:r>
              <w:rPr>
                <w:color w:val="222222"/>
                <w:sz w:val="20"/>
                <w:szCs w:val="20"/>
                <w:highlight w:val="white"/>
              </w:rPr>
              <w:t>AECS : Impulsividad; SIP — Ira y Atribución hostil</w:t>
            </w:r>
          </w:p>
        </w:tc>
        <w:tc>
          <w:tcPr>
            <w:tcW w:w="2490" w:type="dxa"/>
            <w:tcBorders>
              <w:bottom w:val="single" w:sz="8" w:space="0" w:color="FFFFFF"/>
              <w:right w:val="single" w:sz="8" w:space="0" w:color="FFFFFF"/>
            </w:tcBorders>
            <w:tcMar>
              <w:top w:w="80" w:type="dxa"/>
              <w:left w:w="100" w:type="dxa"/>
              <w:bottom w:w="80" w:type="dxa"/>
              <w:right w:w="100" w:type="dxa"/>
            </w:tcMar>
          </w:tcPr>
          <w:p w14:paraId="69BF6288" w14:textId="77777777" w:rsidR="00020AE8" w:rsidRDefault="00000000">
            <w:pPr>
              <w:jc w:val="both"/>
              <w:rPr>
                <w:color w:val="222222"/>
                <w:sz w:val="20"/>
                <w:szCs w:val="20"/>
                <w:highlight w:val="white"/>
              </w:rPr>
            </w:pPr>
            <w:r>
              <w:rPr>
                <w:color w:val="222222"/>
                <w:sz w:val="20"/>
                <w:szCs w:val="20"/>
                <w:highlight w:val="white"/>
              </w:rPr>
              <w:t>C-VIFIP</w:t>
            </w:r>
          </w:p>
        </w:tc>
      </w:tr>
      <w:tr w:rsidR="00020AE8" w14:paraId="77F8C037" w14:textId="77777777">
        <w:trPr>
          <w:trHeight w:val="111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AE0E600" w14:textId="77777777" w:rsidR="00020AE8" w:rsidRDefault="00000000">
            <w:pPr>
              <w:jc w:val="both"/>
              <w:rPr>
                <w:color w:val="222222"/>
                <w:sz w:val="20"/>
                <w:szCs w:val="20"/>
                <w:highlight w:val="white"/>
              </w:rPr>
            </w:pPr>
            <w:r>
              <w:rPr>
                <w:color w:val="222222"/>
                <w:sz w:val="20"/>
                <w:szCs w:val="20"/>
                <w:highlight w:val="white"/>
              </w:rPr>
              <w:t>Cano-Lozano, Rodríguez-Díaz, León y Contreras (2020)</w:t>
            </w:r>
          </w:p>
        </w:tc>
        <w:tc>
          <w:tcPr>
            <w:tcW w:w="3015" w:type="dxa"/>
            <w:tcBorders>
              <w:bottom w:val="single" w:sz="8" w:space="0" w:color="FFFFFF"/>
              <w:right w:val="single" w:sz="8" w:space="0" w:color="FFFFFF"/>
            </w:tcBorders>
            <w:tcMar>
              <w:top w:w="80" w:type="dxa"/>
              <w:left w:w="100" w:type="dxa"/>
              <w:bottom w:w="80" w:type="dxa"/>
              <w:right w:w="100" w:type="dxa"/>
            </w:tcMar>
          </w:tcPr>
          <w:p w14:paraId="00E46273" w14:textId="77777777" w:rsidR="00020AE8" w:rsidRDefault="00000000">
            <w:pPr>
              <w:spacing w:after="40"/>
              <w:jc w:val="both"/>
              <w:rPr>
                <w:color w:val="222222"/>
                <w:sz w:val="20"/>
                <w:szCs w:val="20"/>
                <w:highlight w:val="white"/>
              </w:rPr>
            </w:pPr>
            <w:r>
              <w:rPr>
                <w:color w:val="222222"/>
                <w:sz w:val="20"/>
                <w:szCs w:val="20"/>
                <w:highlight w:val="white"/>
              </w:rPr>
              <w:t>Diseño: Transversal; SEM y AFC</w:t>
            </w:r>
          </w:p>
          <w:p w14:paraId="54A17E16" w14:textId="77777777" w:rsidR="00020AE8" w:rsidRDefault="00000000">
            <w:pPr>
              <w:spacing w:after="40"/>
              <w:jc w:val="both"/>
              <w:rPr>
                <w:color w:val="222222"/>
                <w:sz w:val="20"/>
                <w:szCs w:val="20"/>
                <w:highlight w:val="white"/>
              </w:rPr>
            </w:pPr>
            <w:r>
              <w:rPr>
                <w:color w:val="222222"/>
                <w:sz w:val="20"/>
                <w:szCs w:val="20"/>
                <w:highlight w:val="white"/>
              </w:rPr>
              <w:t>n = 1.599 adolescentes</w:t>
            </w:r>
          </w:p>
          <w:p w14:paraId="526F078E" w14:textId="77777777" w:rsidR="00020AE8" w:rsidRDefault="00000000">
            <w:pPr>
              <w:spacing w:after="40"/>
              <w:jc w:val="both"/>
              <w:rPr>
                <w:color w:val="222222"/>
                <w:sz w:val="20"/>
                <w:szCs w:val="20"/>
                <w:highlight w:val="white"/>
              </w:rPr>
            </w:pPr>
            <w:r>
              <w:rPr>
                <w:color w:val="222222"/>
                <w:sz w:val="20"/>
                <w:szCs w:val="20"/>
                <w:highlight w:val="white"/>
              </w:rPr>
              <w:t>Edad: 12-18 años, M = 14,6</w:t>
            </w:r>
          </w:p>
          <w:p w14:paraId="0881B7AB" w14:textId="77777777" w:rsidR="00020AE8" w:rsidRDefault="00000000">
            <w:pPr>
              <w:jc w:val="both"/>
              <w:rPr>
                <w:color w:val="222222"/>
                <w:sz w:val="20"/>
                <w:szCs w:val="20"/>
                <w:highlight w:val="white"/>
              </w:rPr>
            </w:pPr>
            <w:r>
              <w:rPr>
                <w:color w:val="222222"/>
                <w:sz w:val="20"/>
                <w:szCs w:val="20"/>
                <w:highlight w:val="white"/>
              </w:rPr>
              <w:t>Población: Comunitaria/escolar, España</w:t>
            </w:r>
          </w:p>
        </w:tc>
        <w:tc>
          <w:tcPr>
            <w:tcW w:w="2265" w:type="dxa"/>
            <w:tcBorders>
              <w:bottom w:val="single" w:sz="8" w:space="0" w:color="FFFFFF"/>
              <w:right w:val="single" w:sz="8" w:space="0" w:color="FFFFFF"/>
            </w:tcBorders>
            <w:tcMar>
              <w:top w:w="80" w:type="dxa"/>
              <w:left w:w="100" w:type="dxa"/>
              <w:bottom w:w="80" w:type="dxa"/>
              <w:right w:w="100" w:type="dxa"/>
            </w:tcMar>
          </w:tcPr>
          <w:p w14:paraId="736FCFDE" w14:textId="77777777" w:rsidR="00020AE8" w:rsidRDefault="00000000">
            <w:pPr>
              <w:jc w:val="both"/>
              <w:rPr>
                <w:color w:val="222222"/>
                <w:sz w:val="20"/>
                <w:szCs w:val="20"/>
                <w:highlight w:val="white"/>
              </w:rPr>
            </w:pPr>
            <w:r>
              <w:rPr>
                <w:color w:val="222222"/>
                <w:sz w:val="20"/>
                <w:szCs w:val="20"/>
                <w:highlight w:val="white"/>
              </w:rPr>
              <w:t>SIP: Ira y Atribución hostil</w:t>
            </w:r>
          </w:p>
        </w:tc>
        <w:tc>
          <w:tcPr>
            <w:tcW w:w="2490" w:type="dxa"/>
            <w:tcBorders>
              <w:bottom w:val="single" w:sz="8" w:space="0" w:color="FFFFFF"/>
              <w:right w:val="single" w:sz="8" w:space="0" w:color="FFFFFF"/>
            </w:tcBorders>
            <w:tcMar>
              <w:top w:w="80" w:type="dxa"/>
              <w:left w:w="100" w:type="dxa"/>
              <w:bottom w:w="80" w:type="dxa"/>
              <w:right w:w="100" w:type="dxa"/>
            </w:tcMar>
          </w:tcPr>
          <w:p w14:paraId="2386730F" w14:textId="77777777" w:rsidR="00020AE8" w:rsidRDefault="00000000">
            <w:pPr>
              <w:jc w:val="both"/>
              <w:rPr>
                <w:color w:val="222222"/>
                <w:sz w:val="20"/>
                <w:szCs w:val="20"/>
                <w:highlight w:val="white"/>
              </w:rPr>
            </w:pPr>
            <w:r>
              <w:rPr>
                <w:color w:val="222222"/>
                <w:sz w:val="20"/>
                <w:szCs w:val="20"/>
                <w:highlight w:val="white"/>
              </w:rPr>
              <w:t>CPV-Q (padre/madre)</w:t>
            </w:r>
          </w:p>
        </w:tc>
      </w:tr>
      <w:tr w:rsidR="00020AE8" w14:paraId="0CADE202" w14:textId="77777777">
        <w:trPr>
          <w:trHeight w:val="1275"/>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1CF2FFE9" w14:textId="77777777" w:rsidR="00020AE8" w:rsidRDefault="00000000">
            <w:pPr>
              <w:jc w:val="both"/>
              <w:rPr>
                <w:color w:val="222222"/>
                <w:sz w:val="20"/>
                <w:szCs w:val="20"/>
                <w:highlight w:val="white"/>
              </w:rPr>
            </w:pPr>
            <w:r>
              <w:rPr>
                <w:color w:val="222222"/>
                <w:sz w:val="20"/>
                <w:szCs w:val="20"/>
                <w:highlight w:val="white"/>
              </w:rPr>
              <w:t>Sasaki et al. (2021)</w:t>
            </w:r>
          </w:p>
        </w:tc>
        <w:tc>
          <w:tcPr>
            <w:tcW w:w="3015" w:type="dxa"/>
            <w:tcBorders>
              <w:bottom w:val="single" w:sz="8" w:space="0" w:color="FFFFFF"/>
              <w:right w:val="single" w:sz="8" w:space="0" w:color="FFFFFF"/>
            </w:tcBorders>
            <w:tcMar>
              <w:top w:w="80" w:type="dxa"/>
              <w:left w:w="100" w:type="dxa"/>
              <w:bottom w:w="80" w:type="dxa"/>
              <w:right w:w="100" w:type="dxa"/>
            </w:tcMar>
          </w:tcPr>
          <w:p w14:paraId="31503FEC" w14:textId="77777777" w:rsidR="00020AE8" w:rsidRDefault="00000000">
            <w:pPr>
              <w:spacing w:after="40"/>
              <w:jc w:val="both"/>
              <w:rPr>
                <w:color w:val="222222"/>
                <w:sz w:val="20"/>
                <w:szCs w:val="20"/>
                <w:highlight w:val="white"/>
              </w:rPr>
            </w:pPr>
            <w:r>
              <w:rPr>
                <w:color w:val="222222"/>
                <w:sz w:val="20"/>
                <w:szCs w:val="20"/>
                <w:highlight w:val="white"/>
              </w:rPr>
              <w:t>Diseño: Caso-control retrospectivo</w:t>
            </w:r>
          </w:p>
          <w:p w14:paraId="6EB11600" w14:textId="77777777" w:rsidR="00020AE8" w:rsidRDefault="00000000">
            <w:pPr>
              <w:spacing w:after="40"/>
              <w:jc w:val="both"/>
              <w:rPr>
                <w:color w:val="222222"/>
                <w:sz w:val="20"/>
                <w:szCs w:val="20"/>
                <w:highlight w:val="white"/>
              </w:rPr>
            </w:pPr>
            <w:r>
              <w:rPr>
                <w:color w:val="222222"/>
                <w:sz w:val="20"/>
                <w:szCs w:val="20"/>
                <w:highlight w:val="white"/>
              </w:rPr>
              <w:t>n = 822 (109 VFP / 713 control)</w:t>
            </w:r>
          </w:p>
          <w:p w14:paraId="1AA5F2F7" w14:textId="77777777" w:rsidR="00020AE8" w:rsidRDefault="00000000">
            <w:pPr>
              <w:spacing w:after="40"/>
              <w:jc w:val="both"/>
              <w:rPr>
                <w:color w:val="222222"/>
                <w:sz w:val="20"/>
                <w:szCs w:val="20"/>
                <w:highlight w:val="white"/>
              </w:rPr>
            </w:pPr>
            <w:r>
              <w:rPr>
                <w:color w:val="222222"/>
                <w:sz w:val="20"/>
                <w:szCs w:val="20"/>
                <w:highlight w:val="white"/>
              </w:rPr>
              <w:t>Edad: M = 12,31 (VFP) / M = 12,53 (control)</w:t>
            </w:r>
          </w:p>
          <w:p w14:paraId="6B66B609" w14:textId="77777777" w:rsidR="00020AE8" w:rsidRDefault="00000000">
            <w:pPr>
              <w:jc w:val="both"/>
              <w:rPr>
                <w:color w:val="222222"/>
                <w:sz w:val="20"/>
                <w:szCs w:val="20"/>
                <w:highlight w:val="white"/>
              </w:rPr>
            </w:pPr>
            <w:r>
              <w:rPr>
                <w:color w:val="222222"/>
                <w:sz w:val="20"/>
                <w:szCs w:val="20"/>
                <w:highlight w:val="white"/>
              </w:rPr>
              <w:t>Población: Clínica, psiquiatría infanto-juvenil, Japón</w:t>
            </w:r>
          </w:p>
        </w:tc>
        <w:tc>
          <w:tcPr>
            <w:tcW w:w="2265" w:type="dxa"/>
            <w:tcBorders>
              <w:bottom w:val="single" w:sz="8" w:space="0" w:color="FFFFFF"/>
              <w:right w:val="single" w:sz="8" w:space="0" w:color="FFFFFF"/>
            </w:tcBorders>
            <w:tcMar>
              <w:top w:w="80" w:type="dxa"/>
              <w:left w:w="100" w:type="dxa"/>
              <w:bottom w:w="80" w:type="dxa"/>
              <w:right w:w="100" w:type="dxa"/>
            </w:tcMar>
          </w:tcPr>
          <w:p w14:paraId="5E625BF9" w14:textId="77777777" w:rsidR="00020AE8" w:rsidRDefault="00000000">
            <w:pPr>
              <w:jc w:val="both"/>
              <w:rPr>
                <w:color w:val="222222"/>
                <w:sz w:val="20"/>
                <w:szCs w:val="20"/>
                <w:highlight w:val="white"/>
              </w:rPr>
            </w:pPr>
            <w:r>
              <w:rPr>
                <w:color w:val="222222"/>
                <w:sz w:val="20"/>
                <w:szCs w:val="20"/>
                <w:highlight w:val="white"/>
              </w:rPr>
              <w:t>ADHD-RS (hiperactividad/impulsividad); ODBI</w:t>
            </w:r>
          </w:p>
        </w:tc>
        <w:tc>
          <w:tcPr>
            <w:tcW w:w="2490" w:type="dxa"/>
            <w:tcBorders>
              <w:bottom w:val="single" w:sz="8" w:space="0" w:color="FFFFFF"/>
              <w:right w:val="single" w:sz="8" w:space="0" w:color="FFFFFF"/>
            </w:tcBorders>
            <w:tcMar>
              <w:top w:w="80" w:type="dxa"/>
              <w:left w:w="100" w:type="dxa"/>
              <w:bottom w:w="80" w:type="dxa"/>
              <w:right w:w="100" w:type="dxa"/>
            </w:tcMar>
          </w:tcPr>
          <w:p w14:paraId="7E6F3E17" w14:textId="77777777" w:rsidR="00020AE8" w:rsidRDefault="00000000">
            <w:pPr>
              <w:jc w:val="both"/>
              <w:rPr>
                <w:color w:val="222222"/>
                <w:sz w:val="20"/>
                <w:szCs w:val="20"/>
                <w:highlight w:val="white"/>
              </w:rPr>
            </w:pPr>
            <w:r>
              <w:rPr>
                <w:color w:val="222222"/>
                <w:sz w:val="20"/>
                <w:szCs w:val="20"/>
                <w:highlight w:val="white"/>
              </w:rPr>
              <w:t>Juicio clínico (sin instrumento estandarizado)</w:t>
            </w:r>
          </w:p>
        </w:tc>
      </w:tr>
      <w:tr w:rsidR="00020AE8" w14:paraId="4B0F50F3" w14:textId="77777777">
        <w:trPr>
          <w:trHeight w:val="945"/>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05C41EB4" w14:textId="77777777" w:rsidR="00020AE8" w:rsidRDefault="00000000">
            <w:pPr>
              <w:jc w:val="both"/>
              <w:rPr>
                <w:color w:val="222222"/>
                <w:sz w:val="20"/>
                <w:szCs w:val="20"/>
                <w:highlight w:val="white"/>
              </w:rPr>
            </w:pPr>
            <w:r>
              <w:rPr>
                <w:color w:val="222222"/>
                <w:sz w:val="20"/>
                <w:szCs w:val="20"/>
                <w:highlight w:val="white"/>
              </w:rPr>
              <w:t>Chou, Hsiao, Wang y Yen (2025)</w:t>
            </w:r>
          </w:p>
        </w:tc>
        <w:tc>
          <w:tcPr>
            <w:tcW w:w="3015" w:type="dxa"/>
            <w:tcBorders>
              <w:bottom w:val="single" w:sz="8" w:space="0" w:color="FFFFFF"/>
              <w:right w:val="single" w:sz="8" w:space="0" w:color="FFFFFF"/>
            </w:tcBorders>
            <w:tcMar>
              <w:top w:w="80" w:type="dxa"/>
              <w:left w:w="100" w:type="dxa"/>
              <w:bottom w:w="80" w:type="dxa"/>
              <w:right w:w="100" w:type="dxa"/>
            </w:tcMar>
          </w:tcPr>
          <w:p w14:paraId="4FDA86CD" w14:textId="77777777" w:rsidR="00020AE8" w:rsidRDefault="00000000">
            <w:pPr>
              <w:spacing w:after="40"/>
              <w:jc w:val="both"/>
              <w:rPr>
                <w:color w:val="222222"/>
                <w:sz w:val="20"/>
                <w:szCs w:val="20"/>
                <w:highlight w:val="white"/>
              </w:rPr>
            </w:pPr>
            <w:r>
              <w:rPr>
                <w:color w:val="222222"/>
                <w:sz w:val="20"/>
                <w:szCs w:val="20"/>
                <w:highlight w:val="white"/>
              </w:rPr>
              <w:t>Diseño: Transversal correlacional</w:t>
            </w:r>
          </w:p>
          <w:p w14:paraId="0D725525" w14:textId="77777777" w:rsidR="00020AE8" w:rsidRDefault="00000000">
            <w:pPr>
              <w:spacing w:after="40"/>
              <w:jc w:val="both"/>
              <w:rPr>
                <w:color w:val="222222"/>
                <w:sz w:val="20"/>
                <w:szCs w:val="20"/>
                <w:highlight w:val="white"/>
              </w:rPr>
            </w:pPr>
            <w:r>
              <w:rPr>
                <w:color w:val="222222"/>
                <w:sz w:val="20"/>
                <w:szCs w:val="20"/>
                <w:highlight w:val="white"/>
              </w:rPr>
              <w:t>n = 247 adolescentes con TDAH</w:t>
            </w:r>
          </w:p>
          <w:p w14:paraId="76392AC7" w14:textId="77777777" w:rsidR="00020AE8" w:rsidRDefault="00000000">
            <w:pPr>
              <w:spacing w:after="40"/>
              <w:jc w:val="both"/>
              <w:rPr>
                <w:color w:val="222222"/>
                <w:sz w:val="20"/>
                <w:szCs w:val="20"/>
                <w:highlight w:val="white"/>
              </w:rPr>
            </w:pPr>
            <w:r>
              <w:rPr>
                <w:color w:val="222222"/>
                <w:sz w:val="20"/>
                <w:szCs w:val="20"/>
                <w:highlight w:val="white"/>
              </w:rPr>
              <w:t>Edad: 11-18 años, M = 13,2</w:t>
            </w:r>
          </w:p>
          <w:p w14:paraId="0A2B194B" w14:textId="77777777" w:rsidR="00020AE8" w:rsidRDefault="00000000">
            <w:pPr>
              <w:jc w:val="both"/>
              <w:rPr>
                <w:color w:val="222222"/>
                <w:sz w:val="20"/>
                <w:szCs w:val="20"/>
                <w:highlight w:val="white"/>
              </w:rPr>
            </w:pPr>
            <w:r>
              <w:rPr>
                <w:color w:val="222222"/>
                <w:sz w:val="20"/>
                <w:szCs w:val="20"/>
                <w:highlight w:val="white"/>
              </w:rPr>
              <w:t>Población: Clínica, TDAH, Taiwán</w:t>
            </w:r>
          </w:p>
        </w:tc>
        <w:tc>
          <w:tcPr>
            <w:tcW w:w="2265" w:type="dxa"/>
            <w:tcBorders>
              <w:bottom w:val="single" w:sz="8" w:space="0" w:color="FFFFFF"/>
              <w:right w:val="single" w:sz="8" w:space="0" w:color="FFFFFF"/>
            </w:tcBorders>
            <w:tcMar>
              <w:top w:w="80" w:type="dxa"/>
              <w:left w:w="100" w:type="dxa"/>
              <w:bottom w:w="80" w:type="dxa"/>
              <w:right w:w="100" w:type="dxa"/>
            </w:tcMar>
          </w:tcPr>
          <w:p w14:paraId="3276159C" w14:textId="77777777" w:rsidR="00020AE8" w:rsidRDefault="00000000">
            <w:pPr>
              <w:jc w:val="both"/>
              <w:rPr>
                <w:color w:val="222222"/>
                <w:sz w:val="20"/>
                <w:szCs w:val="20"/>
                <w:highlight w:val="white"/>
              </w:rPr>
            </w:pPr>
            <w:r>
              <w:rPr>
                <w:color w:val="222222"/>
                <w:sz w:val="20"/>
                <w:szCs w:val="20"/>
                <w:highlight w:val="white"/>
              </w:rPr>
              <w:t>SIPCPC-Q (atribución hostil, ira, respuesta agresiva, empatía)</w:t>
            </w:r>
          </w:p>
        </w:tc>
        <w:tc>
          <w:tcPr>
            <w:tcW w:w="2490" w:type="dxa"/>
            <w:tcBorders>
              <w:bottom w:val="single" w:sz="8" w:space="0" w:color="FFFFFF"/>
              <w:right w:val="single" w:sz="8" w:space="0" w:color="FFFFFF"/>
            </w:tcBorders>
            <w:tcMar>
              <w:top w:w="80" w:type="dxa"/>
              <w:left w:w="100" w:type="dxa"/>
              <w:bottom w:w="80" w:type="dxa"/>
              <w:right w:w="100" w:type="dxa"/>
            </w:tcMar>
          </w:tcPr>
          <w:p w14:paraId="7727C075" w14:textId="77777777" w:rsidR="00020AE8" w:rsidRDefault="00000000">
            <w:pPr>
              <w:jc w:val="both"/>
              <w:rPr>
                <w:color w:val="222222"/>
                <w:sz w:val="20"/>
                <w:szCs w:val="20"/>
                <w:highlight w:val="white"/>
              </w:rPr>
            </w:pPr>
            <w:r>
              <w:rPr>
                <w:color w:val="222222"/>
                <w:sz w:val="20"/>
                <w:szCs w:val="20"/>
                <w:highlight w:val="white"/>
              </w:rPr>
              <w:t>CPV-Q</w:t>
            </w:r>
          </w:p>
        </w:tc>
      </w:tr>
      <w:tr w:rsidR="00020AE8" w14:paraId="64FCEA36" w14:textId="77777777">
        <w:trPr>
          <w:trHeight w:val="111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25A14B47" w14:textId="77777777" w:rsidR="00020AE8" w:rsidRDefault="00000000">
            <w:pPr>
              <w:jc w:val="both"/>
              <w:rPr>
                <w:color w:val="222222"/>
                <w:sz w:val="20"/>
                <w:szCs w:val="20"/>
                <w:highlight w:val="white"/>
              </w:rPr>
            </w:pPr>
            <w:r>
              <w:rPr>
                <w:color w:val="222222"/>
                <w:sz w:val="20"/>
                <w:szCs w:val="20"/>
                <w:highlight w:val="white"/>
              </w:rPr>
              <w:t>Papamichail y Bates (2022)</w:t>
            </w:r>
          </w:p>
        </w:tc>
        <w:tc>
          <w:tcPr>
            <w:tcW w:w="3015" w:type="dxa"/>
            <w:tcBorders>
              <w:bottom w:val="single" w:sz="8" w:space="0" w:color="FFFFFF"/>
              <w:right w:val="single" w:sz="8" w:space="0" w:color="FFFFFF"/>
            </w:tcBorders>
            <w:tcMar>
              <w:top w:w="80" w:type="dxa"/>
              <w:left w:w="100" w:type="dxa"/>
              <w:bottom w:w="80" w:type="dxa"/>
              <w:right w:w="100" w:type="dxa"/>
            </w:tcMar>
          </w:tcPr>
          <w:p w14:paraId="37D1A3D5" w14:textId="77777777" w:rsidR="00020AE8" w:rsidRDefault="00000000">
            <w:pPr>
              <w:spacing w:after="40"/>
              <w:jc w:val="both"/>
              <w:rPr>
                <w:color w:val="222222"/>
                <w:sz w:val="20"/>
                <w:szCs w:val="20"/>
                <w:highlight w:val="white"/>
              </w:rPr>
            </w:pPr>
            <w:r>
              <w:rPr>
                <w:color w:val="222222"/>
                <w:sz w:val="20"/>
                <w:szCs w:val="20"/>
                <w:highlight w:val="white"/>
              </w:rPr>
              <w:t>Diseño: Cualitativo; análisis temático</w:t>
            </w:r>
          </w:p>
          <w:p w14:paraId="0086EF56" w14:textId="77777777" w:rsidR="00020AE8" w:rsidRDefault="00000000">
            <w:pPr>
              <w:spacing w:after="40"/>
              <w:jc w:val="both"/>
              <w:rPr>
                <w:color w:val="222222"/>
                <w:sz w:val="20"/>
                <w:szCs w:val="20"/>
                <w:highlight w:val="white"/>
              </w:rPr>
            </w:pPr>
            <w:r>
              <w:rPr>
                <w:color w:val="222222"/>
                <w:sz w:val="20"/>
                <w:szCs w:val="20"/>
                <w:highlight w:val="white"/>
              </w:rPr>
              <w:t>n = 8 participantes</w:t>
            </w:r>
          </w:p>
          <w:p w14:paraId="53985842" w14:textId="77777777" w:rsidR="00020AE8" w:rsidRDefault="00000000">
            <w:pPr>
              <w:spacing w:after="40"/>
              <w:jc w:val="both"/>
              <w:rPr>
                <w:color w:val="222222"/>
                <w:sz w:val="20"/>
                <w:szCs w:val="20"/>
                <w:highlight w:val="white"/>
              </w:rPr>
            </w:pPr>
            <w:r>
              <w:rPr>
                <w:color w:val="222222"/>
                <w:sz w:val="20"/>
                <w:szCs w:val="20"/>
                <w:highlight w:val="white"/>
              </w:rPr>
              <w:t>Edad: 14-16 años, M = 14,5</w:t>
            </w:r>
          </w:p>
          <w:p w14:paraId="167EC7A7" w14:textId="77777777" w:rsidR="00020AE8" w:rsidRDefault="00000000">
            <w:pPr>
              <w:jc w:val="both"/>
              <w:rPr>
                <w:color w:val="222222"/>
                <w:sz w:val="20"/>
                <w:szCs w:val="20"/>
                <w:highlight w:val="white"/>
              </w:rPr>
            </w:pPr>
            <w:r>
              <w:rPr>
                <w:color w:val="222222"/>
                <w:sz w:val="20"/>
                <w:szCs w:val="20"/>
                <w:highlight w:val="white"/>
              </w:rPr>
              <w:t>Población: Comunitaria/intervención, Reino Unido</w:t>
            </w:r>
          </w:p>
        </w:tc>
        <w:tc>
          <w:tcPr>
            <w:tcW w:w="2265" w:type="dxa"/>
            <w:tcBorders>
              <w:bottom w:val="single" w:sz="8" w:space="0" w:color="FFFFFF"/>
              <w:right w:val="single" w:sz="8" w:space="0" w:color="FFFFFF"/>
            </w:tcBorders>
            <w:tcMar>
              <w:top w:w="80" w:type="dxa"/>
              <w:left w:w="100" w:type="dxa"/>
              <w:bottom w:w="80" w:type="dxa"/>
              <w:right w:w="100" w:type="dxa"/>
            </w:tcMar>
          </w:tcPr>
          <w:p w14:paraId="18BE1149" w14:textId="77777777" w:rsidR="00020AE8" w:rsidRDefault="00000000">
            <w:pPr>
              <w:jc w:val="both"/>
              <w:rPr>
                <w:color w:val="222222"/>
                <w:sz w:val="20"/>
                <w:szCs w:val="20"/>
                <w:highlight w:val="white"/>
              </w:rPr>
            </w:pPr>
            <w:r>
              <w:rPr>
                <w:color w:val="222222"/>
                <w:sz w:val="20"/>
                <w:szCs w:val="20"/>
                <w:highlight w:val="white"/>
              </w:rPr>
              <w:t>Tema emergente: dificultades para controlar las emociones</w:t>
            </w:r>
          </w:p>
        </w:tc>
        <w:tc>
          <w:tcPr>
            <w:tcW w:w="2490" w:type="dxa"/>
            <w:tcBorders>
              <w:bottom w:val="single" w:sz="8" w:space="0" w:color="FFFFFF"/>
              <w:right w:val="single" w:sz="8" w:space="0" w:color="FFFFFF"/>
            </w:tcBorders>
            <w:tcMar>
              <w:top w:w="80" w:type="dxa"/>
              <w:left w:w="100" w:type="dxa"/>
              <w:bottom w:w="80" w:type="dxa"/>
              <w:right w:w="100" w:type="dxa"/>
            </w:tcMar>
          </w:tcPr>
          <w:p w14:paraId="4EA9D929" w14:textId="77777777" w:rsidR="00020AE8" w:rsidRDefault="00000000">
            <w:pPr>
              <w:jc w:val="both"/>
              <w:rPr>
                <w:color w:val="222222"/>
                <w:sz w:val="20"/>
                <w:szCs w:val="20"/>
                <w:highlight w:val="white"/>
              </w:rPr>
            </w:pPr>
            <w:r>
              <w:rPr>
                <w:color w:val="222222"/>
                <w:sz w:val="20"/>
                <w:szCs w:val="20"/>
                <w:highlight w:val="white"/>
              </w:rPr>
              <w:t>Criterio de inclusión (sin instrumento)</w:t>
            </w:r>
          </w:p>
        </w:tc>
      </w:tr>
      <w:tr w:rsidR="00020AE8" w14:paraId="30EBD902" w14:textId="77777777">
        <w:trPr>
          <w:trHeight w:val="144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5B1FE2C" w14:textId="77777777" w:rsidR="00020AE8" w:rsidRDefault="00000000">
            <w:pPr>
              <w:jc w:val="both"/>
              <w:rPr>
                <w:color w:val="222222"/>
                <w:sz w:val="20"/>
                <w:szCs w:val="20"/>
                <w:highlight w:val="white"/>
              </w:rPr>
            </w:pPr>
            <w:r>
              <w:rPr>
                <w:color w:val="222222"/>
                <w:sz w:val="20"/>
                <w:szCs w:val="20"/>
                <w:highlight w:val="white"/>
              </w:rPr>
              <w:t>Sasaki et al. (2025)</w:t>
            </w:r>
          </w:p>
        </w:tc>
        <w:tc>
          <w:tcPr>
            <w:tcW w:w="3015" w:type="dxa"/>
            <w:tcBorders>
              <w:bottom w:val="single" w:sz="8" w:space="0" w:color="FFFFFF"/>
              <w:right w:val="single" w:sz="8" w:space="0" w:color="FFFFFF"/>
            </w:tcBorders>
            <w:tcMar>
              <w:top w:w="80" w:type="dxa"/>
              <w:left w:w="100" w:type="dxa"/>
              <w:bottom w:w="80" w:type="dxa"/>
              <w:right w:w="100" w:type="dxa"/>
            </w:tcMar>
          </w:tcPr>
          <w:p w14:paraId="2870AEAF" w14:textId="77777777" w:rsidR="00020AE8" w:rsidRDefault="00000000">
            <w:pPr>
              <w:spacing w:after="40"/>
              <w:jc w:val="both"/>
              <w:rPr>
                <w:color w:val="222222"/>
                <w:sz w:val="20"/>
                <w:szCs w:val="20"/>
                <w:highlight w:val="white"/>
              </w:rPr>
            </w:pPr>
            <w:r>
              <w:rPr>
                <w:color w:val="222222"/>
                <w:sz w:val="20"/>
                <w:szCs w:val="20"/>
                <w:highlight w:val="white"/>
              </w:rPr>
              <w:t>Diseño: Caso-control retrospectivo exploratorio</w:t>
            </w:r>
          </w:p>
          <w:p w14:paraId="05EA3B1B" w14:textId="77777777" w:rsidR="00020AE8" w:rsidRDefault="00000000">
            <w:pPr>
              <w:spacing w:after="40"/>
              <w:jc w:val="both"/>
              <w:rPr>
                <w:color w:val="222222"/>
                <w:sz w:val="20"/>
                <w:szCs w:val="20"/>
                <w:highlight w:val="white"/>
              </w:rPr>
            </w:pPr>
            <w:r>
              <w:rPr>
                <w:color w:val="222222"/>
                <w:sz w:val="20"/>
                <w:szCs w:val="20"/>
                <w:highlight w:val="white"/>
              </w:rPr>
              <w:t>n = 177 (45 VFP no detectada / 114 control)</w:t>
            </w:r>
          </w:p>
          <w:p w14:paraId="05EA31E2" w14:textId="77777777" w:rsidR="00020AE8" w:rsidRDefault="00000000">
            <w:pPr>
              <w:spacing w:after="40"/>
              <w:jc w:val="both"/>
              <w:rPr>
                <w:color w:val="222222"/>
                <w:sz w:val="20"/>
                <w:szCs w:val="20"/>
                <w:highlight w:val="white"/>
              </w:rPr>
            </w:pPr>
            <w:r>
              <w:rPr>
                <w:color w:val="222222"/>
                <w:sz w:val="20"/>
                <w:szCs w:val="20"/>
                <w:highlight w:val="white"/>
              </w:rPr>
              <w:t>Edad: M = 13,23 (muestra total)</w:t>
            </w:r>
          </w:p>
          <w:p w14:paraId="048871FD" w14:textId="77777777" w:rsidR="00020AE8" w:rsidRDefault="00000000">
            <w:pPr>
              <w:jc w:val="both"/>
              <w:rPr>
                <w:color w:val="222222"/>
                <w:sz w:val="20"/>
                <w:szCs w:val="20"/>
                <w:highlight w:val="white"/>
              </w:rPr>
            </w:pPr>
            <w:r>
              <w:rPr>
                <w:color w:val="222222"/>
                <w:sz w:val="20"/>
                <w:szCs w:val="20"/>
                <w:highlight w:val="white"/>
              </w:rPr>
              <w:t>Población: Clínica, psiquiatría infanto-juvenil, Japón</w:t>
            </w:r>
          </w:p>
        </w:tc>
        <w:tc>
          <w:tcPr>
            <w:tcW w:w="2265" w:type="dxa"/>
            <w:tcBorders>
              <w:bottom w:val="single" w:sz="8" w:space="0" w:color="FFFFFF"/>
              <w:right w:val="single" w:sz="8" w:space="0" w:color="FFFFFF"/>
            </w:tcBorders>
            <w:tcMar>
              <w:top w:w="80" w:type="dxa"/>
              <w:left w:w="100" w:type="dxa"/>
              <w:bottom w:w="80" w:type="dxa"/>
              <w:right w:w="100" w:type="dxa"/>
            </w:tcMar>
          </w:tcPr>
          <w:p w14:paraId="0189A3F2" w14:textId="77777777" w:rsidR="00020AE8" w:rsidRDefault="00000000">
            <w:pPr>
              <w:jc w:val="both"/>
              <w:rPr>
                <w:color w:val="222222"/>
                <w:sz w:val="20"/>
                <w:szCs w:val="20"/>
                <w:highlight w:val="white"/>
              </w:rPr>
            </w:pPr>
            <w:r>
              <w:rPr>
                <w:color w:val="222222"/>
                <w:sz w:val="20"/>
                <w:szCs w:val="20"/>
                <w:highlight w:val="white"/>
              </w:rPr>
              <w:t>ADHD-RS; ODBI</w:t>
            </w:r>
          </w:p>
        </w:tc>
        <w:tc>
          <w:tcPr>
            <w:tcW w:w="2490" w:type="dxa"/>
            <w:tcBorders>
              <w:bottom w:val="single" w:sz="8" w:space="0" w:color="FFFFFF"/>
              <w:right w:val="single" w:sz="8" w:space="0" w:color="FFFFFF"/>
            </w:tcBorders>
            <w:tcMar>
              <w:top w:w="80" w:type="dxa"/>
              <w:left w:w="100" w:type="dxa"/>
              <w:bottom w:w="80" w:type="dxa"/>
              <w:right w:w="100" w:type="dxa"/>
            </w:tcMar>
          </w:tcPr>
          <w:p w14:paraId="186334C3" w14:textId="77777777" w:rsidR="00020AE8" w:rsidRDefault="00000000">
            <w:pPr>
              <w:jc w:val="both"/>
              <w:rPr>
                <w:color w:val="222222"/>
                <w:sz w:val="20"/>
                <w:szCs w:val="20"/>
                <w:highlight w:val="white"/>
              </w:rPr>
            </w:pPr>
            <w:r>
              <w:rPr>
                <w:color w:val="222222"/>
                <w:sz w:val="20"/>
                <w:szCs w:val="20"/>
                <w:highlight w:val="white"/>
              </w:rPr>
              <w:t>CPV-Q-P (versión japonesa)</w:t>
            </w:r>
          </w:p>
        </w:tc>
      </w:tr>
      <w:tr w:rsidR="00020AE8" w14:paraId="557A70EF" w14:textId="77777777">
        <w:trPr>
          <w:trHeight w:val="144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62F10198" w14:textId="77777777" w:rsidR="00020AE8" w:rsidRDefault="00000000">
            <w:pPr>
              <w:jc w:val="both"/>
              <w:rPr>
                <w:color w:val="222222"/>
                <w:sz w:val="20"/>
                <w:szCs w:val="20"/>
                <w:highlight w:val="white"/>
              </w:rPr>
            </w:pPr>
            <w:r>
              <w:rPr>
                <w:color w:val="222222"/>
                <w:sz w:val="20"/>
                <w:szCs w:val="20"/>
                <w:highlight w:val="white"/>
              </w:rPr>
              <w:t>Bechtiger et al. (2026)</w:t>
            </w:r>
          </w:p>
        </w:tc>
        <w:tc>
          <w:tcPr>
            <w:tcW w:w="3015" w:type="dxa"/>
            <w:tcBorders>
              <w:bottom w:val="single" w:sz="8" w:space="0" w:color="FFFFFF"/>
              <w:right w:val="single" w:sz="8" w:space="0" w:color="FFFFFF"/>
            </w:tcBorders>
            <w:tcMar>
              <w:top w:w="80" w:type="dxa"/>
              <w:left w:w="100" w:type="dxa"/>
              <w:bottom w:w="80" w:type="dxa"/>
              <w:right w:w="100" w:type="dxa"/>
            </w:tcMar>
          </w:tcPr>
          <w:p w14:paraId="52D720F0" w14:textId="77777777" w:rsidR="00020AE8" w:rsidRDefault="00000000">
            <w:pPr>
              <w:spacing w:after="40"/>
              <w:jc w:val="both"/>
              <w:rPr>
                <w:color w:val="222222"/>
                <w:sz w:val="20"/>
                <w:szCs w:val="20"/>
                <w:highlight w:val="white"/>
              </w:rPr>
            </w:pPr>
            <w:r>
              <w:rPr>
                <w:color w:val="222222"/>
                <w:sz w:val="20"/>
                <w:szCs w:val="20"/>
                <w:highlight w:val="white"/>
              </w:rPr>
              <w:t>Diseño: Longitudinal prospectivo; cohorte poblacional, 6 olas</w:t>
            </w:r>
          </w:p>
          <w:p w14:paraId="22176AF6" w14:textId="77777777" w:rsidR="00020AE8" w:rsidRDefault="00000000">
            <w:pPr>
              <w:spacing w:after="40"/>
              <w:jc w:val="both"/>
              <w:rPr>
                <w:color w:val="222222"/>
                <w:sz w:val="20"/>
                <w:szCs w:val="20"/>
                <w:highlight w:val="white"/>
              </w:rPr>
            </w:pPr>
            <w:r>
              <w:rPr>
                <w:color w:val="222222"/>
                <w:sz w:val="20"/>
                <w:szCs w:val="20"/>
                <w:highlight w:val="white"/>
              </w:rPr>
              <w:t>n = 1.522</w:t>
            </w:r>
          </w:p>
          <w:p w14:paraId="776F15B0" w14:textId="77777777" w:rsidR="00020AE8" w:rsidRDefault="00000000">
            <w:pPr>
              <w:spacing w:after="40"/>
              <w:jc w:val="both"/>
              <w:rPr>
                <w:color w:val="222222"/>
                <w:sz w:val="20"/>
                <w:szCs w:val="20"/>
                <w:highlight w:val="white"/>
              </w:rPr>
            </w:pPr>
            <w:r>
              <w:rPr>
                <w:color w:val="222222"/>
                <w:sz w:val="20"/>
                <w:szCs w:val="20"/>
                <w:highlight w:val="white"/>
              </w:rPr>
              <w:t>Edad: 11 a 24 años (seguimiento de 13 años)</w:t>
            </w:r>
          </w:p>
          <w:p w14:paraId="7B9FF539" w14:textId="77777777" w:rsidR="00020AE8" w:rsidRDefault="00000000">
            <w:pPr>
              <w:jc w:val="both"/>
              <w:rPr>
                <w:color w:val="222222"/>
                <w:sz w:val="20"/>
                <w:szCs w:val="20"/>
                <w:highlight w:val="white"/>
              </w:rPr>
            </w:pPr>
            <w:r>
              <w:rPr>
                <w:color w:val="222222"/>
                <w:sz w:val="20"/>
                <w:szCs w:val="20"/>
                <w:highlight w:val="white"/>
              </w:rPr>
              <w:t>Población: Comunitaria/poblacional, Zúrich</w:t>
            </w:r>
          </w:p>
        </w:tc>
        <w:tc>
          <w:tcPr>
            <w:tcW w:w="2265" w:type="dxa"/>
            <w:tcBorders>
              <w:bottom w:val="single" w:sz="8" w:space="0" w:color="FFFFFF"/>
              <w:right w:val="single" w:sz="8" w:space="0" w:color="FFFFFF"/>
            </w:tcBorders>
            <w:tcMar>
              <w:top w:w="80" w:type="dxa"/>
              <w:left w:w="100" w:type="dxa"/>
              <w:bottom w:w="80" w:type="dxa"/>
              <w:right w:w="100" w:type="dxa"/>
            </w:tcMar>
          </w:tcPr>
          <w:p w14:paraId="428F8850" w14:textId="77777777" w:rsidR="00020AE8" w:rsidRDefault="00000000">
            <w:pPr>
              <w:jc w:val="both"/>
              <w:rPr>
                <w:color w:val="222222"/>
                <w:sz w:val="20"/>
                <w:szCs w:val="20"/>
                <w:highlight w:val="white"/>
              </w:rPr>
            </w:pPr>
            <w:r>
              <w:rPr>
                <w:color w:val="222222"/>
                <w:sz w:val="20"/>
                <w:szCs w:val="20"/>
                <w:highlight w:val="white"/>
              </w:rPr>
              <w:t>Síntomas de TDAH; bajo autocontrol (z-estandarizados)</w:t>
            </w:r>
          </w:p>
        </w:tc>
        <w:tc>
          <w:tcPr>
            <w:tcW w:w="2490" w:type="dxa"/>
            <w:tcBorders>
              <w:bottom w:val="single" w:sz="8" w:space="0" w:color="FFFFFF"/>
              <w:right w:val="single" w:sz="8" w:space="0" w:color="FFFFFF"/>
            </w:tcBorders>
            <w:tcMar>
              <w:top w:w="80" w:type="dxa"/>
              <w:left w:w="100" w:type="dxa"/>
              <w:bottom w:w="80" w:type="dxa"/>
              <w:right w:w="100" w:type="dxa"/>
            </w:tcMar>
          </w:tcPr>
          <w:p w14:paraId="176D419A" w14:textId="77777777" w:rsidR="00020AE8" w:rsidRDefault="00000000">
            <w:pPr>
              <w:jc w:val="both"/>
              <w:rPr>
                <w:color w:val="222222"/>
                <w:sz w:val="20"/>
                <w:szCs w:val="20"/>
                <w:highlight w:val="white"/>
              </w:rPr>
            </w:pPr>
            <w:r>
              <w:rPr>
                <w:color w:val="222222"/>
                <w:sz w:val="20"/>
                <w:szCs w:val="20"/>
                <w:highlight w:val="white"/>
              </w:rPr>
              <w:t>PYPA (2 ítems autoinformados)</w:t>
            </w:r>
          </w:p>
        </w:tc>
      </w:tr>
      <w:tr w:rsidR="00020AE8" w14:paraId="56E4F4A8" w14:textId="77777777">
        <w:trPr>
          <w:trHeight w:val="111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54B5F4F" w14:textId="77777777" w:rsidR="00020AE8" w:rsidRDefault="00000000">
            <w:pPr>
              <w:jc w:val="both"/>
              <w:rPr>
                <w:color w:val="222222"/>
                <w:sz w:val="20"/>
                <w:szCs w:val="20"/>
                <w:highlight w:val="white"/>
              </w:rPr>
            </w:pPr>
            <w:r>
              <w:rPr>
                <w:color w:val="222222"/>
                <w:sz w:val="20"/>
                <w:szCs w:val="20"/>
                <w:highlight w:val="white"/>
              </w:rPr>
              <w:t>Jiménez-Granado, del Hoyo-Bilbao y Fernández-González (2023)</w:t>
            </w:r>
          </w:p>
        </w:tc>
        <w:tc>
          <w:tcPr>
            <w:tcW w:w="3015" w:type="dxa"/>
            <w:tcBorders>
              <w:bottom w:val="single" w:sz="8" w:space="0" w:color="FFFFFF"/>
              <w:right w:val="single" w:sz="8" w:space="0" w:color="FFFFFF"/>
            </w:tcBorders>
            <w:tcMar>
              <w:top w:w="80" w:type="dxa"/>
              <w:left w:w="100" w:type="dxa"/>
              <w:bottom w:w="80" w:type="dxa"/>
              <w:right w:w="100" w:type="dxa"/>
            </w:tcMar>
          </w:tcPr>
          <w:p w14:paraId="47943569" w14:textId="77777777" w:rsidR="00020AE8" w:rsidRDefault="00000000">
            <w:pPr>
              <w:spacing w:after="40"/>
              <w:jc w:val="both"/>
              <w:rPr>
                <w:color w:val="222222"/>
                <w:sz w:val="20"/>
                <w:szCs w:val="20"/>
                <w:highlight w:val="white"/>
              </w:rPr>
            </w:pPr>
            <w:r>
              <w:rPr>
                <w:color w:val="222222"/>
                <w:sz w:val="20"/>
                <w:szCs w:val="20"/>
                <w:highlight w:val="white"/>
              </w:rPr>
              <w:t>Diseño: Longitudinal, 2 olas</w:t>
            </w:r>
          </w:p>
          <w:p w14:paraId="1BD1E393" w14:textId="77777777" w:rsidR="00020AE8" w:rsidRDefault="00000000">
            <w:pPr>
              <w:spacing w:after="40"/>
              <w:jc w:val="both"/>
              <w:rPr>
                <w:color w:val="222222"/>
                <w:sz w:val="20"/>
                <w:szCs w:val="20"/>
                <w:highlight w:val="white"/>
              </w:rPr>
            </w:pPr>
            <w:r>
              <w:rPr>
                <w:color w:val="222222"/>
                <w:sz w:val="20"/>
                <w:szCs w:val="20"/>
                <w:highlight w:val="white"/>
              </w:rPr>
              <w:t>n = 671 (de 905 en ola 1)</w:t>
            </w:r>
          </w:p>
          <w:p w14:paraId="5E143D7E" w14:textId="77777777" w:rsidR="00020AE8" w:rsidRDefault="00000000">
            <w:pPr>
              <w:spacing w:after="40"/>
              <w:jc w:val="both"/>
              <w:rPr>
                <w:color w:val="222222"/>
                <w:sz w:val="20"/>
                <w:szCs w:val="20"/>
                <w:highlight w:val="white"/>
              </w:rPr>
            </w:pPr>
            <w:r>
              <w:rPr>
                <w:color w:val="222222"/>
                <w:sz w:val="20"/>
                <w:szCs w:val="20"/>
                <w:highlight w:val="white"/>
              </w:rPr>
              <w:t>Edad: 12-17 años, M = 13,39</w:t>
            </w:r>
          </w:p>
          <w:p w14:paraId="4987E25D" w14:textId="77777777" w:rsidR="00020AE8" w:rsidRDefault="00000000">
            <w:pPr>
              <w:jc w:val="both"/>
              <w:rPr>
                <w:color w:val="222222"/>
                <w:sz w:val="20"/>
                <w:szCs w:val="20"/>
                <w:highlight w:val="white"/>
              </w:rPr>
            </w:pPr>
            <w:r>
              <w:rPr>
                <w:color w:val="222222"/>
                <w:sz w:val="20"/>
                <w:szCs w:val="20"/>
                <w:highlight w:val="white"/>
              </w:rPr>
              <w:t>Población: Comunitaria/escolar, España</w:t>
            </w:r>
          </w:p>
        </w:tc>
        <w:tc>
          <w:tcPr>
            <w:tcW w:w="2265" w:type="dxa"/>
            <w:tcBorders>
              <w:bottom w:val="single" w:sz="8" w:space="0" w:color="FFFFFF"/>
              <w:right w:val="single" w:sz="8" w:space="0" w:color="FFFFFF"/>
            </w:tcBorders>
            <w:tcMar>
              <w:top w:w="80" w:type="dxa"/>
              <w:left w:w="100" w:type="dxa"/>
              <w:bottom w:w="80" w:type="dxa"/>
              <w:right w:w="100" w:type="dxa"/>
            </w:tcMar>
          </w:tcPr>
          <w:p w14:paraId="7D03F095" w14:textId="77777777" w:rsidR="00020AE8" w:rsidRDefault="00000000">
            <w:pPr>
              <w:jc w:val="both"/>
              <w:rPr>
                <w:color w:val="222222"/>
                <w:sz w:val="20"/>
                <w:szCs w:val="20"/>
                <w:highlight w:val="white"/>
              </w:rPr>
            </w:pPr>
            <w:r>
              <w:rPr>
                <w:color w:val="222222"/>
                <w:sz w:val="20"/>
                <w:szCs w:val="20"/>
                <w:highlight w:val="white"/>
              </w:rPr>
              <w:t>YPI-S — rasgo impulsivo-irresponsable</w:t>
            </w:r>
          </w:p>
        </w:tc>
        <w:tc>
          <w:tcPr>
            <w:tcW w:w="2490" w:type="dxa"/>
            <w:tcBorders>
              <w:bottom w:val="single" w:sz="8" w:space="0" w:color="FFFFFF"/>
              <w:right w:val="single" w:sz="8" w:space="0" w:color="FFFFFF"/>
            </w:tcBorders>
            <w:tcMar>
              <w:top w:w="80" w:type="dxa"/>
              <w:left w:w="100" w:type="dxa"/>
              <w:bottom w:w="80" w:type="dxa"/>
              <w:right w:w="100" w:type="dxa"/>
            </w:tcMar>
          </w:tcPr>
          <w:p w14:paraId="1B318C6D" w14:textId="77777777" w:rsidR="00020AE8" w:rsidRDefault="00000000">
            <w:pPr>
              <w:jc w:val="both"/>
              <w:rPr>
                <w:color w:val="222222"/>
                <w:sz w:val="20"/>
                <w:szCs w:val="20"/>
                <w:highlight w:val="white"/>
              </w:rPr>
            </w:pPr>
            <w:r>
              <w:rPr>
                <w:color w:val="222222"/>
                <w:sz w:val="20"/>
                <w:szCs w:val="20"/>
                <w:highlight w:val="white"/>
              </w:rPr>
              <w:t>CPAQ-R</w:t>
            </w:r>
          </w:p>
        </w:tc>
      </w:tr>
      <w:tr w:rsidR="00020AE8" w14:paraId="4DE9671A" w14:textId="77777777">
        <w:trPr>
          <w:trHeight w:val="111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288AC0AD" w14:textId="77777777" w:rsidR="00020AE8" w:rsidRDefault="00000000">
            <w:pPr>
              <w:jc w:val="both"/>
              <w:rPr>
                <w:color w:val="222222"/>
                <w:sz w:val="20"/>
                <w:szCs w:val="20"/>
                <w:highlight w:val="white"/>
              </w:rPr>
            </w:pPr>
            <w:r>
              <w:rPr>
                <w:color w:val="222222"/>
                <w:sz w:val="20"/>
                <w:szCs w:val="20"/>
                <w:highlight w:val="white"/>
              </w:rPr>
              <w:lastRenderedPageBreak/>
              <w:t>Cano-Lozano, Contreras, Navas-Martínez, León y Rodríguez-Díaz (2023)</w:t>
            </w:r>
          </w:p>
        </w:tc>
        <w:tc>
          <w:tcPr>
            <w:tcW w:w="3015" w:type="dxa"/>
            <w:tcBorders>
              <w:bottom w:val="single" w:sz="8" w:space="0" w:color="FFFFFF"/>
              <w:right w:val="single" w:sz="8" w:space="0" w:color="FFFFFF"/>
            </w:tcBorders>
            <w:tcMar>
              <w:top w:w="80" w:type="dxa"/>
              <w:left w:w="100" w:type="dxa"/>
              <w:bottom w:w="80" w:type="dxa"/>
              <w:right w:w="100" w:type="dxa"/>
            </w:tcMar>
          </w:tcPr>
          <w:p w14:paraId="6E0E790C" w14:textId="77777777" w:rsidR="00020AE8" w:rsidRDefault="00000000">
            <w:pPr>
              <w:spacing w:after="40"/>
              <w:jc w:val="both"/>
              <w:rPr>
                <w:color w:val="222222"/>
                <w:sz w:val="20"/>
                <w:szCs w:val="20"/>
                <w:highlight w:val="white"/>
              </w:rPr>
            </w:pPr>
            <w:r>
              <w:rPr>
                <w:color w:val="222222"/>
                <w:sz w:val="20"/>
                <w:szCs w:val="20"/>
                <w:highlight w:val="white"/>
              </w:rPr>
              <w:t>Diseño: Transversal; comparación de grupos y PLS-SEM</w:t>
            </w:r>
          </w:p>
          <w:p w14:paraId="3C46B726" w14:textId="77777777" w:rsidR="00020AE8" w:rsidRDefault="00000000">
            <w:pPr>
              <w:spacing w:after="40"/>
              <w:jc w:val="both"/>
              <w:rPr>
                <w:color w:val="222222"/>
                <w:sz w:val="20"/>
                <w:szCs w:val="20"/>
                <w:highlight w:val="white"/>
              </w:rPr>
            </w:pPr>
            <w:r>
              <w:rPr>
                <w:color w:val="222222"/>
                <w:sz w:val="20"/>
                <w:szCs w:val="20"/>
                <w:highlight w:val="white"/>
              </w:rPr>
              <w:t>n = 208 infractores</w:t>
            </w:r>
          </w:p>
          <w:p w14:paraId="7FECF4F5" w14:textId="77777777" w:rsidR="00020AE8" w:rsidRDefault="00000000">
            <w:pPr>
              <w:spacing w:after="40"/>
              <w:jc w:val="both"/>
              <w:rPr>
                <w:color w:val="222222"/>
                <w:sz w:val="20"/>
                <w:szCs w:val="20"/>
                <w:highlight w:val="white"/>
              </w:rPr>
            </w:pPr>
            <w:r>
              <w:rPr>
                <w:color w:val="222222"/>
                <w:sz w:val="20"/>
                <w:szCs w:val="20"/>
                <w:highlight w:val="white"/>
              </w:rPr>
              <w:t>Edad: 14-20 años, M = 16,4</w:t>
            </w:r>
          </w:p>
          <w:p w14:paraId="407E5822" w14:textId="77777777" w:rsidR="00020AE8" w:rsidRDefault="00000000">
            <w:pPr>
              <w:jc w:val="both"/>
              <w:rPr>
                <w:color w:val="222222"/>
                <w:sz w:val="20"/>
                <w:szCs w:val="20"/>
                <w:highlight w:val="white"/>
              </w:rPr>
            </w:pPr>
            <w:r>
              <w:rPr>
                <w:color w:val="222222"/>
                <w:sz w:val="20"/>
                <w:szCs w:val="20"/>
                <w:highlight w:val="white"/>
              </w:rPr>
              <w:t>Población: Judicial/forense, España</w:t>
            </w:r>
          </w:p>
        </w:tc>
        <w:tc>
          <w:tcPr>
            <w:tcW w:w="2265" w:type="dxa"/>
            <w:tcBorders>
              <w:bottom w:val="single" w:sz="8" w:space="0" w:color="FFFFFF"/>
              <w:right w:val="single" w:sz="8" w:space="0" w:color="FFFFFF"/>
            </w:tcBorders>
            <w:tcMar>
              <w:top w:w="80" w:type="dxa"/>
              <w:left w:w="100" w:type="dxa"/>
              <w:bottom w:w="80" w:type="dxa"/>
              <w:right w:w="100" w:type="dxa"/>
            </w:tcMar>
          </w:tcPr>
          <w:p w14:paraId="4A07F761" w14:textId="77777777" w:rsidR="00020AE8" w:rsidRDefault="00000000">
            <w:pPr>
              <w:jc w:val="both"/>
              <w:rPr>
                <w:color w:val="222222"/>
                <w:sz w:val="20"/>
                <w:szCs w:val="20"/>
                <w:highlight w:val="white"/>
              </w:rPr>
            </w:pPr>
            <w:r>
              <w:rPr>
                <w:color w:val="222222"/>
                <w:sz w:val="20"/>
                <w:szCs w:val="20"/>
                <w:highlight w:val="white"/>
              </w:rPr>
              <w:t>SIP — Ira y Atribución hostil; AECS — Impulsividad</w:t>
            </w:r>
          </w:p>
        </w:tc>
        <w:tc>
          <w:tcPr>
            <w:tcW w:w="2490" w:type="dxa"/>
            <w:tcBorders>
              <w:bottom w:val="single" w:sz="8" w:space="0" w:color="FFFFFF"/>
              <w:right w:val="single" w:sz="8" w:space="0" w:color="FFFFFF"/>
            </w:tcBorders>
            <w:tcMar>
              <w:top w:w="80" w:type="dxa"/>
              <w:left w:w="100" w:type="dxa"/>
              <w:bottom w:w="80" w:type="dxa"/>
              <w:right w:w="100" w:type="dxa"/>
            </w:tcMar>
          </w:tcPr>
          <w:p w14:paraId="2EAA14B6" w14:textId="77777777" w:rsidR="00020AE8" w:rsidRDefault="00000000">
            <w:pPr>
              <w:jc w:val="both"/>
              <w:rPr>
                <w:color w:val="222222"/>
                <w:sz w:val="20"/>
                <w:szCs w:val="20"/>
                <w:highlight w:val="white"/>
              </w:rPr>
            </w:pPr>
            <w:r>
              <w:rPr>
                <w:color w:val="222222"/>
                <w:sz w:val="20"/>
                <w:szCs w:val="20"/>
                <w:highlight w:val="white"/>
              </w:rPr>
              <w:t>CPV-Q</w:t>
            </w:r>
          </w:p>
        </w:tc>
      </w:tr>
      <w:tr w:rsidR="00020AE8" w14:paraId="44940D04" w14:textId="77777777">
        <w:trPr>
          <w:trHeight w:val="1275"/>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0E253A3F" w14:textId="77777777" w:rsidR="00020AE8" w:rsidRDefault="00000000">
            <w:pPr>
              <w:jc w:val="both"/>
              <w:rPr>
                <w:color w:val="222222"/>
                <w:sz w:val="20"/>
                <w:szCs w:val="20"/>
                <w:highlight w:val="white"/>
              </w:rPr>
            </w:pPr>
            <w:r>
              <w:rPr>
                <w:color w:val="222222"/>
                <w:sz w:val="20"/>
                <w:szCs w:val="20"/>
                <w:highlight w:val="white"/>
              </w:rPr>
              <w:t>Cortina y Martín (2020)</w:t>
            </w:r>
          </w:p>
        </w:tc>
        <w:tc>
          <w:tcPr>
            <w:tcW w:w="3015" w:type="dxa"/>
            <w:tcBorders>
              <w:bottom w:val="single" w:sz="8" w:space="0" w:color="FFFFFF"/>
              <w:right w:val="single" w:sz="8" w:space="0" w:color="FFFFFF"/>
            </w:tcBorders>
            <w:tcMar>
              <w:top w:w="80" w:type="dxa"/>
              <w:left w:w="100" w:type="dxa"/>
              <w:bottom w:w="80" w:type="dxa"/>
              <w:right w:w="100" w:type="dxa"/>
            </w:tcMar>
          </w:tcPr>
          <w:p w14:paraId="453848A5" w14:textId="77777777" w:rsidR="00020AE8" w:rsidRDefault="00000000">
            <w:pPr>
              <w:spacing w:after="40"/>
              <w:jc w:val="both"/>
              <w:rPr>
                <w:color w:val="222222"/>
                <w:sz w:val="20"/>
                <w:szCs w:val="20"/>
                <w:highlight w:val="white"/>
              </w:rPr>
            </w:pPr>
            <w:r>
              <w:rPr>
                <w:color w:val="222222"/>
                <w:sz w:val="20"/>
                <w:szCs w:val="20"/>
                <w:highlight w:val="white"/>
              </w:rPr>
              <w:t>Diseño: Transversal; comparación de grupos</w:t>
            </w:r>
          </w:p>
          <w:p w14:paraId="1B47BFE7" w14:textId="77777777" w:rsidR="00020AE8" w:rsidRDefault="00000000">
            <w:pPr>
              <w:spacing w:after="40"/>
              <w:jc w:val="both"/>
              <w:rPr>
                <w:color w:val="222222"/>
                <w:sz w:val="20"/>
                <w:szCs w:val="20"/>
                <w:highlight w:val="white"/>
              </w:rPr>
            </w:pPr>
            <w:r>
              <w:rPr>
                <w:color w:val="222222"/>
                <w:sz w:val="20"/>
                <w:szCs w:val="20"/>
                <w:highlight w:val="white"/>
              </w:rPr>
              <w:t>n = 225 estudiantes</w:t>
            </w:r>
          </w:p>
          <w:p w14:paraId="2A99D238" w14:textId="77777777" w:rsidR="00020AE8" w:rsidRDefault="00000000">
            <w:pPr>
              <w:spacing w:after="40"/>
              <w:jc w:val="both"/>
              <w:rPr>
                <w:color w:val="222222"/>
                <w:sz w:val="20"/>
                <w:szCs w:val="20"/>
                <w:highlight w:val="white"/>
              </w:rPr>
            </w:pPr>
            <w:r>
              <w:rPr>
                <w:color w:val="222222"/>
                <w:sz w:val="20"/>
                <w:szCs w:val="20"/>
                <w:highlight w:val="white"/>
              </w:rPr>
              <w:t>Edad: 14-20 años, M = 16,02</w:t>
            </w:r>
          </w:p>
          <w:p w14:paraId="6A2264E4" w14:textId="77777777" w:rsidR="00020AE8" w:rsidRDefault="00000000">
            <w:pPr>
              <w:jc w:val="both"/>
              <w:rPr>
                <w:color w:val="222222"/>
                <w:sz w:val="20"/>
                <w:szCs w:val="20"/>
                <w:highlight w:val="white"/>
              </w:rPr>
            </w:pPr>
            <w:r>
              <w:rPr>
                <w:color w:val="222222"/>
                <w:sz w:val="20"/>
                <w:szCs w:val="20"/>
                <w:highlight w:val="white"/>
              </w:rPr>
              <w:t>Población: Comunitaria/escolar, España</w:t>
            </w:r>
          </w:p>
        </w:tc>
        <w:tc>
          <w:tcPr>
            <w:tcW w:w="2265" w:type="dxa"/>
            <w:tcBorders>
              <w:bottom w:val="single" w:sz="8" w:space="0" w:color="FFFFFF"/>
              <w:right w:val="single" w:sz="8" w:space="0" w:color="FFFFFF"/>
            </w:tcBorders>
            <w:tcMar>
              <w:top w:w="80" w:type="dxa"/>
              <w:left w:w="100" w:type="dxa"/>
              <w:bottom w:w="80" w:type="dxa"/>
              <w:right w:w="100" w:type="dxa"/>
            </w:tcMar>
          </w:tcPr>
          <w:p w14:paraId="448561A9" w14:textId="77777777" w:rsidR="00020AE8" w:rsidRDefault="00000000">
            <w:pPr>
              <w:jc w:val="both"/>
              <w:rPr>
                <w:color w:val="222222"/>
                <w:sz w:val="20"/>
                <w:szCs w:val="20"/>
                <w:highlight w:val="white"/>
              </w:rPr>
            </w:pPr>
            <w:r>
              <w:rPr>
                <w:color w:val="222222"/>
                <w:sz w:val="20"/>
                <w:szCs w:val="20"/>
                <w:highlight w:val="white"/>
              </w:rPr>
              <w:t>IPPA-R — subescala de Ira</w:t>
            </w:r>
          </w:p>
        </w:tc>
        <w:tc>
          <w:tcPr>
            <w:tcW w:w="2490" w:type="dxa"/>
            <w:tcBorders>
              <w:bottom w:val="single" w:sz="8" w:space="0" w:color="FFFFFF"/>
              <w:right w:val="single" w:sz="8" w:space="0" w:color="FFFFFF"/>
            </w:tcBorders>
            <w:tcMar>
              <w:top w:w="80" w:type="dxa"/>
              <w:left w:w="100" w:type="dxa"/>
              <w:bottom w:w="80" w:type="dxa"/>
              <w:right w:w="100" w:type="dxa"/>
            </w:tcMar>
          </w:tcPr>
          <w:p w14:paraId="4C005A46" w14:textId="77777777" w:rsidR="00020AE8" w:rsidRDefault="00000000">
            <w:pPr>
              <w:jc w:val="both"/>
              <w:rPr>
                <w:color w:val="222222"/>
                <w:sz w:val="20"/>
                <w:szCs w:val="20"/>
                <w:highlight w:val="white"/>
              </w:rPr>
            </w:pPr>
            <w:r>
              <w:rPr>
                <w:color w:val="222222"/>
                <w:sz w:val="20"/>
                <w:szCs w:val="20"/>
                <w:highlight w:val="white"/>
              </w:rPr>
              <w:t>9 conductas autoinformadas (Hernández, 2016)</w:t>
            </w:r>
          </w:p>
        </w:tc>
      </w:tr>
      <w:tr w:rsidR="00020AE8" w14:paraId="157EF59F" w14:textId="77777777">
        <w:trPr>
          <w:trHeight w:val="144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EC42745" w14:textId="77777777" w:rsidR="00020AE8" w:rsidRDefault="00000000">
            <w:pPr>
              <w:jc w:val="both"/>
              <w:rPr>
                <w:color w:val="222222"/>
                <w:sz w:val="20"/>
                <w:szCs w:val="20"/>
                <w:highlight w:val="white"/>
              </w:rPr>
            </w:pPr>
            <w:r>
              <w:rPr>
                <w:color w:val="222222"/>
                <w:sz w:val="20"/>
                <w:szCs w:val="20"/>
                <w:highlight w:val="white"/>
              </w:rPr>
              <w:t>Loinaz, Barboni y Ma-de-Sousa (2020)</w:t>
            </w:r>
          </w:p>
        </w:tc>
        <w:tc>
          <w:tcPr>
            <w:tcW w:w="3015" w:type="dxa"/>
            <w:tcBorders>
              <w:bottom w:val="single" w:sz="8" w:space="0" w:color="FFFFFF"/>
              <w:right w:val="single" w:sz="8" w:space="0" w:color="FFFFFF"/>
            </w:tcBorders>
            <w:tcMar>
              <w:top w:w="80" w:type="dxa"/>
              <w:left w:w="100" w:type="dxa"/>
              <w:bottom w:w="80" w:type="dxa"/>
              <w:right w:w="100" w:type="dxa"/>
            </w:tcMar>
          </w:tcPr>
          <w:p w14:paraId="46237395" w14:textId="77777777" w:rsidR="00020AE8" w:rsidRDefault="00000000">
            <w:pPr>
              <w:spacing w:after="40"/>
              <w:jc w:val="both"/>
              <w:rPr>
                <w:color w:val="222222"/>
                <w:sz w:val="20"/>
                <w:szCs w:val="20"/>
                <w:highlight w:val="white"/>
              </w:rPr>
            </w:pPr>
            <w:r>
              <w:rPr>
                <w:color w:val="222222"/>
                <w:sz w:val="20"/>
                <w:szCs w:val="20"/>
                <w:highlight w:val="white"/>
              </w:rPr>
              <w:t>Diseño: Descriptivo-comparativo; revisión de expedientes</w:t>
            </w:r>
          </w:p>
          <w:p w14:paraId="5915FC29" w14:textId="77777777" w:rsidR="00020AE8" w:rsidRDefault="00000000">
            <w:pPr>
              <w:spacing w:after="40"/>
              <w:jc w:val="both"/>
              <w:rPr>
                <w:color w:val="222222"/>
                <w:sz w:val="20"/>
                <w:szCs w:val="20"/>
                <w:highlight w:val="white"/>
              </w:rPr>
            </w:pPr>
            <w:r>
              <w:rPr>
                <w:color w:val="222222"/>
                <w:sz w:val="20"/>
                <w:szCs w:val="20"/>
                <w:highlight w:val="white"/>
              </w:rPr>
              <w:t>n = 91 casos (61 clínicos / 30 judiciales)</w:t>
            </w:r>
          </w:p>
          <w:p w14:paraId="3B77935A" w14:textId="77777777" w:rsidR="00020AE8" w:rsidRDefault="00000000">
            <w:pPr>
              <w:spacing w:after="40"/>
              <w:jc w:val="both"/>
              <w:rPr>
                <w:color w:val="222222"/>
                <w:sz w:val="20"/>
                <w:szCs w:val="20"/>
                <w:highlight w:val="white"/>
              </w:rPr>
            </w:pPr>
            <w:r>
              <w:rPr>
                <w:color w:val="222222"/>
                <w:sz w:val="20"/>
                <w:szCs w:val="20"/>
                <w:highlight w:val="white"/>
              </w:rPr>
              <w:t>Edad: 13-28 años, M = 17,07</w:t>
            </w:r>
          </w:p>
          <w:p w14:paraId="755CB118" w14:textId="77777777" w:rsidR="00020AE8" w:rsidRDefault="00000000">
            <w:pPr>
              <w:jc w:val="both"/>
              <w:rPr>
                <w:color w:val="222222"/>
                <w:sz w:val="20"/>
                <w:szCs w:val="20"/>
                <w:highlight w:val="white"/>
              </w:rPr>
            </w:pPr>
            <w:r>
              <w:rPr>
                <w:color w:val="222222"/>
                <w:sz w:val="20"/>
                <w:szCs w:val="20"/>
                <w:highlight w:val="white"/>
              </w:rPr>
              <w:t>Población: Mixta clínica/judicial, España</w:t>
            </w:r>
          </w:p>
        </w:tc>
        <w:tc>
          <w:tcPr>
            <w:tcW w:w="2265" w:type="dxa"/>
            <w:tcBorders>
              <w:bottom w:val="single" w:sz="8" w:space="0" w:color="FFFFFF"/>
              <w:right w:val="single" w:sz="8" w:space="0" w:color="FFFFFF"/>
            </w:tcBorders>
            <w:tcMar>
              <w:top w:w="80" w:type="dxa"/>
              <w:left w:w="100" w:type="dxa"/>
              <w:bottom w:w="80" w:type="dxa"/>
              <w:right w:w="100" w:type="dxa"/>
            </w:tcMar>
          </w:tcPr>
          <w:p w14:paraId="0002D7EA" w14:textId="77777777" w:rsidR="00020AE8" w:rsidRDefault="00000000">
            <w:pPr>
              <w:jc w:val="both"/>
              <w:rPr>
                <w:color w:val="222222"/>
                <w:sz w:val="20"/>
                <w:szCs w:val="20"/>
                <w:highlight w:val="white"/>
              </w:rPr>
            </w:pPr>
            <w:r>
              <w:rPr>
                <w:color w:val="222222"/>
                <w:sz w:val="20"/>
                <w:szCs w:val="20"/>
                <w:highlight w:val="white"/>
              </w:rPr>
              <w:t>CPVR/RVFP — impulsividad, manejo de la ira, tolerancia a la frustración, empatía</w:t>
            </w:r>
          </w:p>
        </w:tc>
        <w:tc>
          <w:tcPr>
            <w:tcW w:w="2490" w:type="dxa"/>
            <w:tcBorders>
              <w:bottom w:val="single" w:sz="8" w:space="0" w:color="FFFFFF"/>
              <w:right w:val="single" w:sz="8" w:space="0" w:color="FFFFFF"/>
            </w:tcBorders>
            <w:tcMar>
              <w:top w:w="80" w:type="dxa"/>
              <w:left w:w="100" w:type="dxa"/>
              <w:bottom w:w="80" w:type="dxa"/>
              <w:right w:w="100" w:type="dxa"/>
            </w:tcMar>
          </w:tcPr>
          <w:p w14:paraId="0821D898" w14:textId="77777777" w:rsidR="00020AE8" w:rsidRDefault="00000000">
            <w:pPr>
              <w:jc w:val="both"/>
              <w:rPr>
                <w:color w:val="222222"/>
                <w:sz w:val="20"/>
                <w:szCs w:val="20"/>
                <w:highlight w:val="white"/>
              </w:rPr>
            </w:pPr>
            <w:r>
              <w:rPr>
                <w:color w:val="222222"/>
                <w:sz w:val="20"/>
                <w:szCs w:val="20"/>
                <w:highlight w:val="white"/>
              </w:rPr>
              <w:t>CPVR/RVFP (la VFP es criterio de inclusión)</w:t>
            </w:r>
          </w:p>
        </w:tc>
      </w:tr>
      <w:tr w:rsidR="00020AE8" w14:paraId="367C1665" w14:textId="77777777">
        <w:trPr>
          <w:trHeight w:val="144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2A19120" w14:textId="77777777" w:rsidR="00020AE8" w:rsidRDefault="00000000">
            <w:pPr>
              <w:jc w:val="both"/>
              <w:rPr>
                <w:color w:val="222222"/>
                <w:sz w:val="20"/>
                <w:szCs w:val="20"/>
                <w:highlight w:val="white"/>
              </w:rPr>
            </w:pPr>
            <w:r>
              <w:rPr>
                <w:color w:val="222222"/>
                <w:sz w:val="20"/>
                <w:szCs w:val="20"/>
                <w:highlight w:val="white"/>
              </w:rPr>
              <w:t>Loinaz y de Sousa (2020)</w:t>
            </w:r>
          </w:p>
        </w:tc>
        <w:tc>
          <w:tcPr>
            <w:tcW w:w="3015" w:type="dxa"/>
            <w:tcBorders>
              <w:bottom w:val="single" w:sz="8" w:space="0" w:color="FFFFFF"/>
              <w:right w:val="single" w:sz="8" w:space="0" w:color="FFFFFF"/>
            </w:tcBorders>
            <w:tcMar>
              <w:top w:w="80" w:type="dxa"/>
              <w:left w:w="100" w:type="dxa"/>
              <w:bottom w:w="80" w:type="dxa"/>
              <w:right w:w="100" w:type="dxa"/>
            </w:tcMar>
          </w:tcPr>
          <w:p w14:paraId="4B495A7B" w14:textId="77777777" w:rsidR="00020AE8" w:rsidRDefault="00000000">
            <w:pPr>
              <w:spacing w:after="40"/>
              <w:jc w:val="both"/>
              <w:rPr>
                <w:color w:val="222222"/>
                <w:sz w:val="20"/>
                <w:szCs w:val="20"/>
                <w:highlight w:val="white"/>
              </w:rPr>
            </w:pPr>
            <w:r>
              <w:rPr>
                <w:color w:val="222222"/>
                <w:sz w:val="20"/>
                <w:szCs w:val="20"/>
                <w:highlight w:val="white"/>
              </w:rPr>
              <w:t>Diseño: Descriptivo-comparativo; validación de instrumento</w:t>
            </w:r>
          </w:p>
          <w:p w14:paraId="58210310" w14:textId="77777777" w:rsidR="00020AE8" w:rsidRDefault="00000000">
            <w:pPr>
              <w:spacing w:after="40"/>
              <w:jc w:val="both"/>
              <w:rPr>
                <w:color w:val="222222"/>
                <w:sz w:val="20"/>
                <w:szCs w:val="20"/>
                <w:highlight w:val="white"/>
              </w:rPr>
            </w:pPr>
            <w:r>
              <w:rPr>
                <w:color w:val="222222"/>
                <w:sz w:val="20"/>
                <w:szCs w:val="20"/>
                <w:highlight w:val="white"/>
              </w:rPr>
              <w:t>n = 91 casos (misma muestra base que Loinaz et al., 2020)</w:t>
            </w:r>
          </w:p>
          <w:p w14:paraId="057F699D" w14:textId="77777777" w:rsidR="00020AE8" w:rsidRDefault="00000000">
            <w:pPr>
              <w:spacing w:after="40"/>
              <w:jc w:val="both"/>
              <w:rPr>
                <w:color w:val="222222"/>
                <w:sz w:val="20"/>
                <w:szCs w:val="20"/>
                <w:highlight w:val="white"/>
              </w:rPr>
            </w:pPr>
            <w:r>
              <w:rPr>
                <w:color w:val="222222"/>
                <w:sz w:val="20"/>
                <w:szCs w:val="20"/>
                <w:highlight w:val="white"/>
              </w:rPr>
              <w:t>Edad: 13-28 años, M = 17,07</w:t>
            </w:r>
          </w:p>
          <w:p w14:paraId="040355A0" w14:textId="77777777" w:rsidR="00020AE8" w:rsidRDefault="00000000">
            <w:pPr>
              <w:jc w:val="both"/>
              <w:rPr>
                <w:color w:val="222222"/>
                <w:sz w:val="20"/>
                <w:szCs w:val="20"/>
                <w:highlight w:val="white"/>
              </w:rPr>
            </w:pPr>
            <w:r>
              <w:rPr>
                <w:color w:val="222222"/>
                <w:sz w:val="20"/>
                <w:szCs w:val="20"/>
                <w:highlight w:val="white"/>
              </w:rPr>
              <w:t>Población: Mixta clínica/judicial, España</w:t>
            </w:r>
          </w:p>
        </w:tc>
        <w:tc>
          <w:tcPr>
            <w:tcW w:w="2265" w:type="dxa"/>
            <w:tcBorders>
              <w:bottom w:val="single" w:sz="8" w:space="0" w:color="FFFFFF"/>
              <w:right w:val="single" w:sz="8" w:space="0" w:color="FFFFFF"/>
            </w:tcBorders>
            <w:tcMar>
              <w:top w:w="80" w:type="dxa"/>
              <w:left w:w="100" w:type="dxa"/>
              <w:bottom w:w="80" w:type="dxa"/>
              <w:right w:w="100" w:type="dxa"/>
            </w:tcMar>
          </w:tcPr>
          <w:p w14:paraId="0EF88756" w14:textId="77777777" w:rsidR="00020AE8" w:rsidRDefault="00000000">
            <w:pPr>
              <w:jc w:val="both"/>
              <w:rPr>
                <w:color w:val="222222"/>
                <w:sz w:val="20"/>
                <w:szCs w:val="20"/>
                <w:highlight w:val="white"/>
              </w:rPr>
            </w:pPr>
            <w:r>
              <w:rPr>
                <w:color w:val="222222"/>
                <w:sz w:val="20"/>
                <w:szCs w:val="20"/>
                <w:highlight w:val="white"/>
              </w:rPr>
              <w:t>CPVR/RVFP v2.1 — ídem más narcisismo</w:t>
            </w:r>
          </w:p>
        </w:tc>
        <w:tc>
          <w:tcPr>
            <w:tcW w:w="2490" w:type="dxa"/>
            <w:tcBorders>
              <w:bottom w:val="single" w:sz="8" w:space="0" w:color="FFFFFF"/>
              <w:right w:val="single" w:sz="8" w:space="0" w:color="FFFFFF"/>
            </w:tcBorders>
            <w:tcMar>
              <w:top w:w="80" w:type="dxa"/>
              <w:left w:w="100" w:type="dxa"/>
              <w:bottom w:w="80" w:type="dxa"/>
              <w:right w:w="100" w:type="dxa"/>
            </w:tcMar>
          </w:tcPr>
          <w:p w14:paraId="6F6CA829" w14:textId="77777777" w:rsidR="00020AE8" w:rsidRDefault="00000000">
            <w:pPr>
              <w:jc w:val="both"/>
              <w:rPr>
                <w:color w:val="222222"/>
                <w:sz w:val="20"/>
                <w:szCs w:val="20"/>
                <w:highlight w:val="white"/>
              </w:rPr>
            </w:pPr>
            <w:r>
              <w:rPr>
                <w:color w:val="222222"/>
                <w:sz w:val="20"/>
                <w:szCs w:val="20"/>
                <w:highlight w:val="white"/>
              </w:rPr>
              <w:t>CPVR/RVFP (la VFP es criterio de inclusión)</w:t>
            </w:r>
          </w:p>
        </w:tc>
      </w:tr>
      <w:tr w:rsidR="00020AE8" w14:paraId="56ED3C67" w14:textId="77777777">
        <w:trPr>
          <w:trHeight w:val="1275"/>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173F0F0" w14:textId="77777777" w:rsidR="00020AE8" w:rsidRDefault="00000000">
            <w:pPr>
              <w:jc w:val="both"/>
              <w:rPr>
                <w:color w:val="222222"/>
                <w:sz w:val="20"/>
                <w:szCs w:val="20"/>
                <w:highlight w:val="white"/>
              </w:rPr>
            </w:pPr>
            <w:r>
              <w:rPr>
                <w:color w:val="222222"/>
                <w:sz w:val="20"/>
                <w:szCs w:val="20"/>
                <w:highlight w:val="white"/>
              </w:rPr>
              <w:t>Del Hoyo-Bilbao, Orue, Gámez-Guadix y Calvete (2020)</w:t>
            </w:r>
          </w:p>
        </w:tc>
        <w:tc>
          <w:tcPr>
            <w:tcW w:w="3015" w:type="dxa"/>
            <w:tcBorders>
              <w:bottom w:val="single" w:sz="8" w:space="0" w:color="FFFFFF"/>
              <w:right w:val="single" w:sz="8" w:space="0" w:color="FFFFFF"/>
            </w:tcBorders>
            <w:tcMar>
              <w:top w:w="80" w:type="dxa"/>
              <w:left w:w="100" w:type="dxa"/>
              <w:bottom w:w="80" w:type="dxa"/>
              <w:right w:w="100" w:type="dxa"/>
            </w:tcMar>
          </w:tcPr>
          <w:p w14:paraId="67EF15A1" w14:textId="77777777" w:rsidR="00020AE8" w:rsidRDefault="00000000">
            <w:pPr>
              <w:spacing w:after="40"/>
              <w:jc w:val="both"/>
              <w:rPr>
                <w:color w:val="222222"/>
                <w:sz w:val="20"/>
                <w:szCs w:val="20"/>
                <w:highlight w:val="white"/>
              </w:rPr>
            </w:pPr>
            <w:r>
              <w:rPr>
                <w:color w:val="222222"/>
                <w:sz w:val="20"/>
                <w:szCs w:val="20"/>
                <w:highlight w:val="white"/>
              </w:rPr>
              <w:t>Diseño: Transversal; dos modelos SEM (madre/padre)</w:t>
            </w:r>
          </w:p>
          <w:p w14:paraId="5A1DB7A6" w14:textId="77777777" w:rsidR="00020AE8" w:rsidRDefault="00000000">
            <w:pPr>
              <w:spacing w:after="40"/>
              <w:jc w:val="both"/>
              <w:rPr>
                <w:color w:val="222222"/>
                <w:sz w:val="20"/>
                <w:szCs w:val="20"/>
                <w:highlight w:val="white"/>
              </w:rPr>
            </w:pPr>
            <w:r>
              <w:rPr>
                <w:color w:val="222222"/>
                <w:sz w:val="20"/>
                <w:szCs w:val="20"/>
                <w:highlight w:val="white"/>
              </w:rPr>
              <w:t>n = 298 adolescentes</w:t>
            </w:r>
          </w:p>
          <w:p w14:paraId="411B464D" w14:textId="77777777" w:rsidR="00020AE8" w:rsidRDefault="00000000">
            <w:pPr>
              <w:spacing w:after="40"/>
              <w:jc w:val="both"/>
              <w:rPr>
                <w:color w:val="222222"/>
                <w:sz w:val="20"/>
                <w:szCs w:val="20"/>
                <w:highlight w:val="white"/>
              </w:rPr>
            </w:pPr>
            <w:r>
              <w:rPr>
                <w:color w:val="222222"/>
                <w:sz w:val="20"/>
                <w:szCs w:val="20"/>
                <w:highlight w:val="white"/>
              </w:rPr>
              <w:t>Edad: 12-18 años, M = 15,78-15,91</w:t>
            </w:r>
          </w:p>
          <w:p w14:paraId="4E64E07F" w14:textId="77777777" w:rsidR="00020AE8" w:rsidRDefault="00000000">
            <w:pPr>
              <w:jc w:val="both"/>
              <w:rPr>
                <w:color w:val="222222"/>
                <w:sz w:val="20"/>
                <w:szCs w:val="20"/>
                <w:highlight w:val="white"/>
              </w:rPr>
            </w:pPr>
            <w:r>
              <w:rPr>
                <w:color w:val="222222"/>
                <w:sz w:val="20"/>
                <w:szCs w:val="20"/>
                <w:highlight w:val="white"/>
              </w:rPr>
              <w:t>Población: Mixta judicial/terapéutica y comunitaria, España</w:t>
            </w:r>
          </w:p>
        </w:tc>
        <w:tc>
          <w:tcPr>
            <w:tcW w:w="2265" w:type="dxa"/>
            <w:tcBorders>
              <w:bottom w:val="single" w:sz="8" w:space="0" w:color="FFFFFF"/>
              <w:right w:val="single" w:sz="8" w:space="0" w:color="FFFFFF"/>
            </w:tcBorders>
            <w:tcMar>
              <w:top w:w="80" w:type="dxa"/>
              <w:left w:w="100" w:type="dxa"/>
              <w:bottom w:w="80" w:type="dxa"/>
              <w:right w:w="100" w:type="dxa"/>
            </w:tcMar>
          </w:tcPr>
          <w:p w14:paraId="0F0550E4" w14:textId="77777777" w:rsidR="00020AE8" w:rsidRDefault="00000000">
            <w:pPr>
              <w:jc w:val="both"/>
              <w:rPr>
                <w:color w:val="222222"/>
                <w:sz w:val="20"/>
                <w:szCs w:val="20"/>
                <w:highlight w:val="white"/>
              </w:rPr>
            </w:pPr>
            <w:r>
              <w:rPr>
                <w:color w:val="222222"/>
                <w:sz w:val="20"/>
                <w:szCs w:val="20"/>
                <w:highlight w:val="white"/>
              </w:rPr>
              <w:t>YPI-S — Impulsivo; STAXI-2 — Ira; BFQ-CA — Inestabilidad emocional</w:t>
            </w:r>
          </w:p>
        </w:tc>
        <w:tc>
          <w:tcPr>
            <w:tcW w:w="2490" w:type="dxa"/>
            <w:tcBorders>
              <w:bottom w:val="single" w:sz="8" w:space="0" w:color="FFFFFF"/>
              <w:right w:val="single" w:sz="8" w:space="0" w:color="FFFFFF"/>
            </w:tcBorders>
            <w:tcMar>
              <w:top w:w="80" w:type="dxa"/>
              <w:left w:w="100" w:type="dxa"/>
              <w:bottom w:w="80" w:type="dxa"/>
              <w:right w:w="100" w:type="dxa"/>
            </w:tcMar>
          </w:tcPr>
          <w:p w14:paraId="59FCEBC1" w14:textId="77777777" w:rsidR="00020AE8" w:rsidRDefault="00000000">
            <w:pPr>
              <w:jc w:val="both"/>
              <w:rPr>
                <w:color w:val="222222"/>
                <w:sz w:val="20"/>
                <w:szCs w:val="20"/>
                <w:highlight w:val="white"/>
              </w:rPr>
            </w:pPr>
            <w:r>
              <w:rPr>
                <w:color w:val="222222"/>
                <w:sz w:val="20"/>
                <w:szCs w:val="20"/>
                <w:highlight w:val="white"/>
              </w:rPr>
              <w:t>CPAQ</w:t>
            </w:r>
          </w:p>
        </w:tc>
      </w:tr>
      <w:tr w:rsidR="00020AE8" w14:paraId="5EC5D8AC" w14:textId="77777777">
        <w:trPr>
          <w:trHeight w:val="111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66332DD5" w14:textId="77777777" w:rsidR="00020AE8" w:rsidRDefault="00000000">
            <w:pPr>
              <w:jc w:val="both"/>
              <w:rPr>
                <w:color w:val="222222"/>
                <w:sz w:val="20"/>
                <w:szCs w:val="20"/>
                <w:highlight w:val="white"/>
              </w:rPr>
            </w:pPr>
            <w:r>
              <w:rPr>
                <w:color w:val="222222"/>
                <w:sz w:val="20"/>
                <w:szCs w:val="20"/>
                <w:highlight w:val="white"/>
              </w:rPr>
              <w:t>Martínez-Ferrer, Romero-Abrio, Moreno-Ruiz y Musitu (2018)</w:t>
            </w:r>
          </w:p>
        </w:tc>
        <w:tc>
          <w:tcPr>
            <w:tcW w:w="3015" w:type="dxa"/>
            <w:tcBorders>
              <w:bottom w:val="single" w:sz="8" w:space="0" w:color="FFFFFF"/>
              <w:right w:val="single" w:sz="8" w:space="0" w:color="FFFFFF"/>
            </w:tcBorders>
            <w:tcMar>
              <w:top w:w="80" w:type="dxa"/>
              <w:left w:w="100" w:type="dxa"/>
              <w:bottom w:w="80" w:type="dxa"/>
              <w:right w:w="100" w:type="dxa"/>
            </w:tcMar>
          </w:tcPr>
          <w:p w14:paraId="54722C3B" w14:textId="77777777" w:rsidR="00020AE8" w:rsidRDefault="00000000">
            <w:pPr>
              <w:spacing w:after="40"/>
              <w:jc w:val="both"/>
              <w:rPr>
                <w:color w:val="222222"/>
                <w:sz w:val="20"/>
                <w:szCs w:val="20"/>
                <w:highlight w:val="white"/>
              </w:rPr>
            </w:pPr>
            <w:r>
              <w:rPr>
                <w:color w:val="222222"/>
                <w:sz w:val="20"/>
                <w:szCs w:val="20"/>
                <w:highlight w:val="white"/>
              </w:rPr>
              <w:t>Diseño: Transversal; MANOVA</w:t>
            </w:r>
          </w:p>
          <w:p w14:paraId="3B17A3D5" w14:textId="77777777" w:rsidR="00020AE8" w:rsidRDefault="00000000">
            <w:pPr>
              <w:spacing w:after="40"/>
              <w:jc w:val="both"/>
              <w:rPr>
                <w:color w:val="222222"/>
                <w:sz w:val="20"/>
                <w:szCs w:val="20"/>
                <w:highlight w:val="white"/>
              </w:rPr>
            </w:pPr>
            <w:r>
              <w:rPr>
                <w:color w:val="222222"/>
                <w:sz w:val="20"/>
                <w:szCs w:val="20"/>
                <w:highlight w:val="white"/>
              </w:rPr>
              <w:t>n = 2.399 adolescentes</w:t>
            </w:r>
          </w:p>
          <w:p w14:paraId="14F4F866" w14:textId="77777777" w:rsidR="00020AE8" w:rsidRDefault="00000000">
            <w:pPr>
              <w:spacing w:after="40"/>
              <w:jc w:val="both"/>
              <w:rPr>
                <w:color w:val="222222"/>
                <w:sz w:val="20"/>
                <w:szCs w:val="20"/>
                <w:highlight w:val="white"/>
              </w:rPr>
            </w:pPr>
            <w:r>
              <w:rPr>
                <w:color w:val="222222"/>
                <w:sz w:val="20"/>
                <w:szCs w:val="20"/>
                <w:highlight w:val="white"/>
              </w:rPr>
              <w:t>Edad: 12-18 años, M = 14,63</w:t>
            </w:r>
          </w:p>
          <w:p w14:paraId="14EA289D" w14:textId="77777777" w:rsidR="00020AE8" w:rsidRDefault="00000000">
            <w:pPr>
              <w:jc w:val="both"/>
              <w:rPr>
                <w:color w:val="222222"/>
                <w:sz w:val="20"/>
                <w:szCs w:val="20"/>
                <w:highlight w:val="white"/>
              </w:rPr>
            </w:pPr>
            <w:r>
              <w:rPr>
                <w:color w:val="222222"/>
                <w:sz w:val="20"/>
                <w:szCs w:val="20"/>
                <w:highlight w:val="white"/>
              </w:rPr>
              <w:t>Población: Comunitaria/escolar, España</w:t>
            </w:r>
          </w:p>
        </w:tc>
        <w:tc>
          <w:tcPr>
            <w:tcW w:w="2265" w:type="dxa"/>
            <w:tcBorders>
              <w:bottom w:val="single" w:sz="8" w:space="0" w:color="FFFFFF"/>
              <w:right w:val="single" w:sz="8" w:space="0" w:color="FFFFFF"/>
            </w:tcBorders>
            <w:tcMar>
              <w:top w:w="80" w:type="dxa"/>
              <w:left w:w="100" w:type="dxa"/>
              <w:bottom w:w="80" w:type="dxa"/>
              <w:right w:w="100" w:type="dxa"/>
            </w:tcMar>
          </w:tcPr>
          <w:p w14:paraId="7624D46A" w14:textId="77777777" w:rsidR="00020AE8" w:rsidRDefault="00000000">
            <w:pPr>
              <w:jc w:val="both"/>
              <w:rPr>
                <w:color w:val="222222"/>
                <w:sz w:val="20"/>
                <w:szCs w:val="20"/>
                <w:highlight w:val="white"/>
              </w:rPr>
            </w:pPr>
            <w:r>
              <w:rPr>
                <w:color w:val="222222"/>
                <w:sz w:val="20"/>
                <w:szCs w:val="20"/>
                <w:highlight w:val="white"/>
              </w:rPr>
              <w:t>TAS-20 — Alexitimia</w:t>
            </w:r>
          </w:p>
        </w:tc>
        <w:tc>
          <w:tcPr>
            <w:tcW w:w="2490" w:type="dxa"/>
            <w:tcBorders>
              <w:bottom w:val="single" w:sz="8" w:space="0" w:color="FFFFFF"/>
              <w:right w:val="single" w:sz="8" w:space="0" w:color="FFFFFF"/>
            </w:tcBorders>
            <w:tcMar>
              <w:top w:w="80" w:type="dxa"/>
              <w:left w:w="100" w:type="dxa"/>
              <w:bottom w:w="80" w:type="dxa"/>
              <w:right w:w="100" w:type="dxa"/>
            </w:tcMar>
          </w:tcPr>
          <w:p w14:paraId="7DF5EE59" w14:textId="77777777" w:rsidR="00020AE8" w:rsidRDefault="00000000">
            <w:pPr>
              <w:jc w:val="both"/>
              <w:rPr>
                <w:color w:val="222222"/>
                <w:sz w:val="20"/>
                <w:szCs w:val="20"/>
                <w:highlight w:val="white"/>
              </w:rPr>
            </w:pPr>
            <w:r>
              <w:rPr>
                <w:color w:val="222222"/>
                <w:sz w:val="20"/>
                <w:szCs w:val="20"/>
                <w:highlight w:val="white"/>
              </w:rPr>
              <w:t>CTS2 adaptado</w:t>
            </w:r>
          </w:p>
        </w:tc>
      </w:tr>
      <w:tr w:rsidR="00020AE8" w14:paraId="43C497A6" w14:textId="77777777">
        <w:trPr>
          <w:trHeight w:val="144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67162090" w14:textId="77777777" w:rsidR="00020AE8" w:rsidRDefault="00000000">
            <w:pPr>
              <w:jc w:val="both"/>
              <w:rPr>
                <w:color w:val="222222"/>
                <w:sz w:val="20"/>
                <w:szCs w:val="20"/>
                <w:highlight w:val="white"/>
              </w:rPr>
            </w:pPr>
            <w:r>
              <w:rPr>
                <w:color w:val="222222"/>
                <w:sz w:val="20"/>
                <w:szCs w:val="20"/>
                <w:highlight w:val="white"/>
              </w:rPr>
              <w:t>Contreras y Cano (2016)</w:t>
            </w:r>
          </w:p>
        </w:tc>
        <w:tc>
          <w:tcPr>
            <w:tcW w:w="3015" w:type="dxa"/>
            <w:tcBorders>
              <w:bottom w:val="single" w:sz="8" w:space="0" w:color="FFFFFF"/>
              <w:right w:val="single" w:sz="8" w:space="0" w:color="FFFFFF"/>
            </w:tcBorders>
            <w:tcMar>
              <w:top w:w="80" w:type="dxa"/>
              <w:left w:w="100" w:type="dxa"/>
              <w:bottom w:w="80" w:type="dxa"/>
              <w:right w:w="100" w:type="dxa"/>
            </w:tcMar>
          </w:tcPr>
          <w:p w14:paraId="56EC2B99" w14:textId="77777777" w:rsidR="00020AE8" w:rsidRDefault="00000000">
            <w:pPr>
              <w:spacing w:after="40"/>
              <w:jc w:val="both"/>
              <w:rPr>
                <w:color w:val="222222"/>
                <w:sz w:val="20"/>
                <w:szCs w:val="20"/>
                <w:highlight w:val="white"/>
              </w:rPr>
            </w:pPr>
            <w:r>
              <w:rPr>
                <w:color w:val="222222"/>
                <w:sz w:val="20"/>
                <w:szCs w:val="20"/>
                <w:highlight w:val="white"/>
              </w:rPr>
              <w:t>Diseño: Transversal; 3 grupos (caso-control), MANOVA</w:t>
            </w:r>
          </w:p>
          <w:p w14:paraId="3D516D04" w14:textId="77777777" w:rsidR="00020AE8" w:rsidRDefault="00000000">
            <w:pPr>
              <w:spacing w:after="40"/>
              <w:jc w:val="both"/>
              <w:rPr>
                <w:color w:val="222222"/>
                <w:sz w:val="20"/>
                <w:szCs w:val="20"/>
                <w:highlight w:val="white"/>
              </w:rPr>
            </w:pPr>
            <w:r>
              <w:rPr>
                <w:color w:val="222222"/>
                <w:sz w:val="20"/>
                <w:szCs w:val="20"/>
                <w:highlight w:val="white"/>
              </w:rPr>
              <w:t>n = 90 (30 por grupo)</w:t>
            </w:r>
          </w:p>
          <w:p w14:paraId="77D00386" w14:textId="77777777" w:rsidR="00020AE8" w:rsidRDefault="00000000">
            <w:pPr>
              <w:spacing w:after="40"/>
              <w:jc w:val="both"/>
              <w:rPr>
                <w:color w:val="222222"/>
                <w:sz w:val="20"/>
                <w:szCs w:val="20"/>
                <w:highlight w:val="white"/>
              </w:rPr>
            </w:pPr>
            <w:r>
              <w:rPr>
                <w:color w:val="222222"/>
                <w:sz w:val="20"/>
                <w:szCs w:val="20"/>
                <w:highlight w:val="white"/>
              </w:rPr>
              <w:t>Edad: M = 16,27-17,07 (sin diferencias)</w:t>
            </w:r>
          </w:p>
          <w:p w14:paraId="02241A0E" w14:textId="77777777" w:rsidR="00020AE8" w:rsidRDefault="00000000">
            <w:pPr>
              <w:jc w:val="both"/>
              <w:rPr>
                <w:color w:val="222222"/>
                <w:sz w:val="20"/>
                <w:szCs w:val="20"/>
                <w:highlight w:val="white"/>
              </w:rPr>
            </w:pPr>
            <w:r>
              <w:rPr>
                <w:color w:val="222222"/>
                <w:sz w:val="20"/>
                <w:szCs w:val="20"/>
                <w:highlight w:val="white"/>
              </w:rPr>
              <w:t>Población: Mixta judicial/forense y comunitaria, España</w:t>
            </w:r>
          </w:p>
        </w:tc>
        <w:tc>
          <w:tcPr>
            <w:tcW w:w="2265" w:type="dxa"/>
            <w:tcBorders>
              <w:bottom w:val="single" w:sz="8" w:space="0" w:color="FFFFFF"/>
              <w:right w:val="single" w:sz="8" w:space="0" w:color="FFFFFF"/>
            </w:tcBorders>
            <w:tcMar>
              <w:top w:w="80" w:type="dxa"/>
              <w:left w:w="100" w:type="dxa"/>
              <w:bottom w:w="80" w:type="dxa"/>
              <w:right w:w="100" w:type="dxa"/>
            </w:tcMar>
          </w:tcPr>
          <w:p w14:paraId="3E082DA1" w14:textId="77777777" w:rsidR="00020AE8" w:rsidRDefault="00000000">
            <w:pPr>
              <w:jc w:val="both"/>
              <w:rPr>
                <w:color w:val="222222"/>
                <w:sz w:val="20"/>
                <w:szCs w:val="20"/>
                <w:highlight w:val="white"/>
              </w:rPr>
            </w:pPr>
            <w:r>
              <w:rPr>
                <w:color w:val="222222"/>
                <w:sz w:val="20"/>
                <w:szCs w:val="20"/>
                <w:highlight w:val="white"/>
              </w:rPr>
              <w:t>AECS — Impulsividad-reflexividad</w:t>
            </w:r>
          </w:p>
        </w:tc>
        <w:tc>
          <w:tcPr>
            <w:tcW w:w="2490" w:type="dxa"/>
            <w:tcBorders>
              <w:bottom w:val="single" w:sz="8" w:space="0" w:color="FFFFFF"/>
              <w:right w:val="single" w:sz="8" w:space="0" w:color="FFFFFF"/>
            </w:tcBorders>
            <w:tcMar>
              <w:top w:w="80" w:type="dxa"/>
              <w:left w:w="100" w:type="dxa"/>
              <w:bottom w:w="80" w:type="dxa"/>
              <w:right w:w="100" w:type="dxa"/>
            </w:tcMar>
          </w:tcPr>
          <w:p w14:paraId="5ACB4937" w14:textId="77777777" w:rsidR="00020AE8" w:rsidRDefault="00000000">
            <w:pPr>
              <w:jc w:val="both"/>
              <w:rPr>
                <w:color w:val="222222"/>
                <w:sz w:val="20"/>
                <w:szCs w:val="20"/>
                <w:highlight w:val="white"/>
              </w:rPr>
            </w:pPr>
            <w:r>
              <w:rPr>
                <w:color w:val="222222"/>
                <w:sz w:val="20"/>
                <w:szCs w:val="20"/>
                <w:highlight w:val="white"/>
              </w:rPr>
              <w:t>Clasificación judicial (denuncia de los padres)</w:t>
            </w:r>
          </w:p>
        </w:tc>
      </w:tr>
      <w:tr w:rsidR="00020AE8" w14:paraId="47D9AEBE" w14:textId="77777777">
        <w:trPr>
          <w:trHeight w:val="111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67FA9EE2" w14:textId="77777777" w:rsidR="00020AE8" w:rsidRDefault="00000000">
            <w:pPr>
              <w:jc w:val="both"/>
              <w:rPr>
                <w:color w:val="222222"/>
                <w:sz w:val="20"/>
                <w:szCs w:val="20"/>
                <w:highlight w:val="white"/>
              </w:rPr>
            </w:pPr>
            <w:r>
              <w:rPr>
                <w:color w:val="222222"/>
                <w:sz w:val="20"/>
                <w:szCs w:val="20"/>
                <w:highlight w:val="white"/>
              </w:rPr>
              <w:t>Gao, Kong, Zhang y Wang (2026)</w:t>
            </w:r>
          </w:p>
        </w:tc>
        <w:tc>
          <w:tcPr>
            <w:tcW w:w="3015" w:type="dxa"/>
            <w:tcBorders>
              <w:bottom w:val="single" w:sz="8" w:space="0" w:color="FFFFFF"/>
              <w:right w:val="single" w:sz="8" w:space="0" w:color="FFFFFF"/>
            </w:tcBorders>
            <w:tcMar>
              <w:top w:w="80" w:type="dxa"/>
              <w:left w:w="100" w:type="dxa"/>
              <w:bottom w:w="80" w:type="dxa"/>
              <w:right w:w="100" w:type="dxa"/>
            </w:tcMar>
          </w:tcPr>
          <w:p w14:paraId="14AE2D4E" w14:textId="77777777" w:rsidR="00020AE8" w:rsidRDefault="00000000">
            <w:pPr>
              <w:spacing w:after="40"/>
              <w:jc w:val="both"/>
              <w:rPr>
                <w:color w:val="222222"/>
                <w:sz w:val="20"/>
                <w:szCs w:val="20"/>
                <w:highlight w:val="white"/>
              </w:rPr>
            </w:pPr>
            <w:r>
              <w:rPr>
                <w:color w:val="222222"/>
                <w:sz w:val="20"/>
                <w:szCs w:val="20"/>
                <w:highlight w:val="white"/>
              </w:rPr>
              <w:t>Diseño: Transversal; SEM de mediación moderada</w:t>
            </w:r>
          </w:p>
          <w:p w14:paraId="790CBDB5" w14:textId="77777777" w:rsidR="00020AE8" w:rsidRDefault="00000000">
            <w:pPr>
              <w:spacing w:after="40"/>
              <w:jc w:val="both"/>
              <w:rPr>
                <w:color w:val="222222"/>
                <w:sz w:val="20"/>
                <w:szCs w:val="20"/>
                <w:highlight w:val="white"/>
              </w:rPr>
            </w:pPr>
            <w:r>
              <w:rPr>
                <w:color w:val="222222"/>
                <w:sz w:val="20"/>
                <w:szCs w:val="20"/>
                <w:highlight w:val="white"/>
              </w:rPr>
              <w:t>n = 1.420 adolescentes</w:t>
            </w:r>
          </w:p>
          <w:p w14:paraId="78D6C7AE" w14:textId="77777777" w:rsidR="00020AE8" w:rsidRDefault="00000000">
            <w:pPr>
              <w:spacing w:after="40"/>
              <w:jc w:val="both"/>
              <w:rPr>
                <w:color w:val="222222"/>
                <w:sz w:val="20"/>
                <w:szCs w:val="20"/>
                <w:highlight w:val="white"/>
              </w:rPr>
            </w:pPr>
            <w:r>
              <w:rPr>
                <w:color w:val="222222"/>
                <w:sz w:val="20"/>
                <w:szCs w:val="20"/>
                <w:highlight w:val="white"/>
              </w:rPr>
              <w:t>Edad: 13-16 años, M = 14,07</w:t>
            </w:r>
          </w:p>
          <w:p w14:paraId="62B75306" w14:textId="77777777" w:rsidR="00020AE8" w:rsidRDefault="00000000">
            <w:pPr>
              <w:jc w:val="both"/>
              <w:rPr>
                <w:color w:val="222222"/>
                <w:sz w:val="20"/>
                <w:szCs w:val="20"/>
                <w:highlight w:val="white"/>
              </w:rPr>
            </w:pPr>
            <w:r>
              <w:rPr>
                <w:color w:val="222222"/>
                <w:sz w:val="20"/>
                <w:szCs w:val="20"/>
                <w:highlight w:val="white"/>
              </w:rPr>
              <w:lastRenderedPageBreak/>
              <w:t>Población: Comunitaria/escolar, China</w:t>
            </w:r>
          </w:p>
        </w:tc>
        <w:tc>
          <w:tcPr>
            <w:tcW w:w="2265" w:type="dxa"/>
            <w:tcBorders>
              <w:bottom w:val="single" w:sz="8" w:space="0" w:color="FFFFFF"/>
              <w:right w:val="single" w:sz="8" w:space="0" w:color="FFFFFF"/>
            </w:tcBorders>
            <w:tcMar>
              <w:top w:w="80" w:type="dxa"/>
              <w:left w:w="100" w:type="dxa"/>
              <w:bottom w:w="80" w:type="dxa"/>
              <w:right w:w="100" w:type="dxa"/>
            </w:tcMar>
          </w:tcPr>
          <w:p w14:paraId="2DF8EDEA" w14:textId="77777777" w:rsidR="00020AE8" w:rsidRDefault="00000000">
            <w:pPr>
              <w:jc w:val="both"/>
              <w:rPr>
                <w:color w:val="222222"/>
                <w:sz w:val="20"/>
                <w:szCs w:val="20"/>
                <w:highlight w:val="white"/>
              </w:rPr>
            </w:pPr>
            <w:r>
              <w:rPr>
                <w:color w:val="222222"/>
                <w:sz w:val="20"/>
                <w:szCs w:val="20"/>
                <w:highlight w:val="white"/>
              </w:rPr>
              <w:lastRenderedPageBreak/>
              <w:t>BIS-Brief</w:t>
            </w:r>
          </w:p>
        </w:tc>
        <w:tc>
          <w:tcPr>
            <w:tcW w:w="2490" w:type="dxa"/>
            <w:tcBorders>
              <w:bottom w:val="single" w:sz="8" w:space="0" w:color="FFFFFF"/>
              <w:right w:val="single" w:sz="8" w:space="0" w:color="FFFFFF"/>
            </w:tcBorders>
            <w:tcMar>
              <w:top w:w="80" w:type="dxa"/>
              <w:left w:w="100" w:type="dxa"/>
              <w:bottom w:w="80" w:type="dxa"/>
              <w:right w:w="100" w:type="dxa"/>
            </w:tcMar>
          </w:tcPr>
          <w:p w14:paraId="41CBF097" w14:textId="77777777" w:rsidR="00020AE8" w:rsidRDefault="00000000">
            <w:pPr>
              <w:jc w:val="both"/>
              <w:rPr>
                <w:color w:val="222222"/>
                <w:sz w:val="20"/>
                <w:szCs w:val="20"/>
                <w:highlight w:val="white"/>
              </w:rPr>
            </w:pPr>
            <w:r>
              <w:rPr>
                <w:color w:val="222222"/>
                <w:sz w:val="20"/>
                <w:szCs w:val="20"/>
                <w:highlight w:val="white"/>
              </w:rPr>
              <w:t>CPV-Q (versión china)</w:t>
            </w:r>
          </w:p>
        </w:tc>
      </w:tr>
      <w:tr w:rsidR="00020AE8" w14:paraId="4F6FC774" w14:textId="77777777">
        <w:trPr>
          <w:trHeight w:val="1440"/>
        </w:trPr>
        <w:tc>
          <w:tcPr>
            <w:tcW w:w="1890"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0511795B" w14:textId="77777777" w:rsidR="00020AE8" w:rsidRDefault="00000000">
            <w:pPr>
              <w:jc w:val="both"/>
              <w:rPr>
                <w:color w:val="222222"/>
                <w:sz w:val="20"/>
                <w:szCs w:val="20"/>
                <w:highlight w:val="white"/>
              </w:rPr>
            </w:pPr>
            <w:r>
              <w:rPr>
                <w:color w:val="222222"/>
                <w:sz w:val="20"/>
                <w:szCs w:val="20"/>
                <w:highlight w:val="white"/>
              </w:rPr>
              <w:t>Baker, Radford, Harbin y Barter (2025)</w:t>
            </w:r>
          </w:p>
        </w:tc>
        <w:tc>
          <w:tcPr>
            <w:tcW w:w="3015" w:type="dxa"/>
            <w:tcBorders>
              <w:bottom w:val="single" w:sz="8" w:space="0" w:color="FFFFFF"/>
              <w:right w:val="single" w:sz="8" w:space="0" w:color="FFFFFF"/>
            </w:tcBorders>
            <w:tcMar>
              <w:top w:w="80" w:type="dxa"/>
              <w:left w:w="100" w:type="dxa"/>
              <w:bottom w:w="80" w:type="dxa"/>
              <w:right w:w="100" w:type="dxa"/>
            </w:tcMar>
          </w:tcPr>
          <w:p w14:paraId="0A6952BB" w14:textId="77777777" w:rsidR="00020AE8" w:rsidRDefault="00000000">
            <w:pPr>
              <w:spacing w:after="40"/>
              <w:jc w:val="both"/>
              <w:rPr>
                <w:color w:val="222222"/>
                <w:sz w:val="20"/>
                <w:szCs w:val="20"/>
                <w:highlight w:val="white"/>
              </w:rPr>
            </w:pPr>
            <w:r>
              <w:rPr>
                <w:color w:val="222222"/>
                <w:sz w:val="20"/>
                <w:szCs w:val="20"/>
                <w:highlight w:val="white"/>
              </w:rPr>
              <w:t>Diseño: Cualitativo; entrevistas en profundidad</w:t>
            </w:r>
          </w:p>
          <w:p w14:paraId="05978C08" w14:textId="77777777" w:rsidR="00020AE8" w:rsidRDefault="00000000">
            <w:pPr>
              <w:spacing w:after="40"/>
              <w:jc w:val="both"/>
              <w:rPr>
                <w:color w:val="222222"/>
                <w:sz w:val="20"/>
                <w:szCs w:val="20"/>
                <w:highlight w:val="white"/>
              </w:rPr>
            </w:pPr>
            <w:r>
              <w:rPr>
                <w:color w:val="222222"/>
                <w:sz w:val="20"/>
                <w:szCs w:val="20"/>
                <w:highlight w:val="white"/>
              </w:rPr>
              <w:t>n = 13 jóvenes (de muestra mayor de 221)</w:t>
            </w:r>
          </w:p>
          <w:p w14:paraId="21E3B5F2" w14:textId="77777777" w:rsidR="00020AE8" w:rsidRDefault="00000000">
            <w:pPr>
              <w:spacing w:after="40"/>
              <w:jc w:val="both"/>
              <w:rPr>
                <w:color w:val="222222"/>
                <w:sz w:val="20"/>
                <w:szCs w:val="20"/>
                <w:highlight w:val="white"/>
              </w:rPr>
            </w:pPr>
            <w:r>
              <w:rPr>
                <w:color w:val="222222"/>
                <w:sz w:val="20"/>
                <w:szCs w:val="20"/>
                <w:highlight w:val="white"/>
              </w:rPr>
              <w:t>Edad: 14-18 años</w:t>
            </w:r>
          </w:p>
          <w:p w14:paraId="37C7D0BE" w14:textId="77777777" w:rsidR="00020AE8" w:rsidRDefault="00000000">
            <w:pPr>
              <w:jc w:val="both"/>
              <w:rPr>
                <w:color w:val="222222"/>
                <w:sz w:val="20"/>
                <w:szCs w:val="20"/>
                <w:highlight w:val="white"/>
              </w:rPr>
            </w:pPr>
            <w:r>
              <w:rPr>
                <w:color w:val="222222"/>
                <w:sz w:val="20"/>
                <w:szCs w:val="20"/>
                <w:highlight w:val="white"/>
              </w:rPr>
              <w:t>Población: Mixta educativa y de justicia juvenil, Reino Unido</w:t>
            </w:r>
          </w:p>
        </w:tc>
        <w:tc>
          <w:tcPr>
            <w:tcW w:w="2265" w:type="dxa"/>
            <w:tcBorders>
              <w:bottom w:val="single" w:sz="8" w:space="0" w:color="FFFFFF"/>
              <w:right w:val="single" w:sz="8" w:space="0" w:color="FFFFFF"/>
            </w:tcBorders>
            <w:tcMar>
              <w:top w:w="80" w:type="dxa"/>
              <w:left w:w="100" w:type="dxa"/>
              <w:bottom w:w="80" w:type="dxa"/>
              <w:right w:w="100" w:type="dxa"/>
            </w:tcMar>
          </w:tcPr>
          <w:p w14:paraId="079FDBF9" w14:textId="77777777" w:rsidR="00020AE8" w:rsidRDefault="00000000">
            <w:pPr>
              <w:jc w:val="both"/>
              <w:rPr>
                <w:color w:val="222222"/>
                <w:sz w:val="20"/>
                <w:szCs w:val="20"/>
                <w:highlight w:val="white"/>
              </w:rPr>
            </w:pPr>
            <w:r>
              <w:rPr>
                <w:color w:val="222222"/>
                <w:sz w:val="20"/>
                <w:szCs w:val="20"/>
                <w:highlight w:val="white"/>
              </w:rPr>
              <w:t>Tema emergente: ira y regulación emocional</w:t>
            </w:r>
          </w:p>
        </w:tc>
        <w:tc>
          <w:tcPr>
            <w:tcW w:w="2490" w:type="dxa"/>
            <w:tcBorders>
              <w:bottom w:val="single" w:sz="8" w:space="0" w:color="FFFFFF"/>
              <w:right w:val="single" w:sz="8" w:space="0" w:color="FFFFFF"/>
            </w:tcBorders>
            <w:tcMar>
              <w:top w:w="80" w:type="dxa"/>
              <w:left w:w="100" w:type="dxa"/>
              <w:bottom w:w="80" w:type="dxa"/>
              <w:right w:w="100" w:type="dxa"/>
            </w:tcMar>
          </w:tcPr>
          <w:p w14:paraId="1AC695DC" w14:textId="77777777" w:rsidR="00020AE8" w:rsidRDefault="00000000">
            <w:pPr>
              <w:jc w:val="both"/>
              <w:rPr>
                <w:color w:val="222222"/>
                <w:sz w:val="20"/>
                <w:szCs w:val="20"/>
                <w:highlight w:val="white"/>
              </w:rPr>
            </w:pPr>
            <w:r>
              <w:rPr>
                <w:color w:val="222222"/>
                <w:sz w:val="20"/>
                <w:szCs w:val="20"/>
                <w:highlight w:val="white"/>
              </w:rPr>
              <w:t>Entrevistas (sin instrumento psicométrico)</w:t>
            </w:r>
          </w:p>
        </w:tc>
      </w:tr>
      <w:tr w:rsidR="00020AE8" w14:paraId="595321EA" w14:textId="77777777">
        <w:trPr>
          <w:trHeight w:val="1275"/>
        </w:trPr>
        <w:tc>
          <w:tcPr>
            <w:tcW w:w="1890" w:type="dxa"/>
            <w:tcBorders>
              <w:left w:val="single" w:sz="8" w:space="0" w:color="FFFFFF"/>
              <w:bottom w:val="single" w:sz="8" w:space="0" w:color="000000"/>
              <w:right w:val="single" w:sz="8" w:space="0" w:color="FFFFFF"/>
            </w:tcBorders>
            <w:tcMar>
              <w:top w:w="80" w:type="dxa"/>
              <w:left w:w="100" w:type="dxa"/>
              <w:bottom w:w="80" w:type="dxa"/>
              <w:right w:w="100" w:type="dxa"/>
            </w:tcMar>
          </w:tcPr>
          <w:p w14:paraId="0E437F44" w14:textId="77777777" w:rsidR="00020AE8" w:rsidRDefault="00000000">
            <w:pPr>
              <w:jc w:val="both"/>
              <w:rPr>
                <w:color w:val="222222"/>
                <w:sz w:val="20"/>
                <w:szCs w:val="20"/>
                <w:highlight w:val="white"/>
              </w:rPr>
            </w:pPr>
            <w:r>
              <w:rPr>
                <w:color w:val="222222"/>
                <w:sz w:val="20"/>
                <w:szCs w:val="20"/>
                <w:highlight w:val="white"/>
              </w:rPr>
              <w:t>Navas-Martínez y Cano-Lozano (2023)</w:t>
            </w:r>
          </w:p>
        </w:tc>
        <w:tc>
          <w:tcPr>
            <w:tcW w:w="3015" w:type="dxa"/>
            <w:tcBorders>
              <w:bottom w:val="single" w:sz="8" w:space="0" w:color="000000"/>
              <w:right w:val="single" w:sz="8" w:space="0" w:color="FFFFFF"/>
            </w:tcBorders>
            <w:tcMar>
              <w:top w:w="80" w:type="dxa"/>
              <w:left w:w="100" w:type="dxa"/>
              <w:bottom w:w="80" w:type="dxa"/>
              <w:right w:w="100" w:type="dxa"/>
            </w:tcMar>
          </w:tcPr>
          <w:p w14:paraId="4E760A2D" w14:textId="77777777" w:rsidR="00020AE8" w:rsidRDefault="00000000">
            <w:pPr>
              <w:spacing w:after="40"/>
              <w:jc w:val="both"/>
              <w:rPr>
                <w:color w:val="222222"/>
                <w:sz w:val="20"/>
                <w:szCs w:val="20"/>
                <w:highlight w:val="white"/>
              </w:rPr>
            </w:pPr>
            <w:r>
              <w:rPr>
                <w:color w:val="222222"/>
                <w:sz w:val="20"/>
                <w:szCs w:val="20"/>
                <w:highlight w:val="white"/>
              </w:rPr>
              <w:t>Diseño: Transversal descriptivo (ex post facto)</w:t>
            </w:r>
          </w:p>
          <w:p w14:paraId="21713C36" w14:textId="77777777" w:rsidR="00020AE8" w:rsidRDefault="00000000">
            <w:pPr>
              <w:spacing w:after="40"/>
              <w:jc w:val="both"/>
              <w:rPr>
                <w:color w:val="222222"/>
                <w:sz w:val="20"/>
                <w:szCs w:val="20"/>
                <w:highlight w:val="white"/>
              </w:rPr>
            </w:pPr>
            <w:r>
              <w:rPr>
                <w:color w:val="222222"/>
                <w:sz w:val="20"/>
                <w:szCs w:val="20"/>
                <w:highlight w:val="white"/>
              </w:rPr>
              <w:t>n = 1.559 (de 3.142 inicial)</w:t>
            </w:r>
          </w:p>
          <w:p w14:paraId="101FB19F" w14:textId="77777777" w:rsidR="00020AE8" w:rsidRDefault="00000000">
            <w:pPr>
              <w:spacing w:after="40"/>
              <w:jc w:val="both"/>
              <w:rPr>
                <w:color w:val="222222"/>
                <w:sz w:val="20"/>
                <w:szCs w:val="20"/>
                <w:highlight w:val="white"/>
              </w:rPr>
            </w:pPr>
            <w:r>
              <w:rPr>
                <w:color w:val="222222"/>
                <w:sz w:val="20"/>
                <w:szCs w:val="20"/>
                <w:highlight w:val="white"/>
              </w:rPr>
              <w:t>Edad: 12-18 años, M = 14,5</w:t>
            </w:r>
          </w:p>
          <w:p w14:paraId="2AEDD79C" w14:textId="77777777" w:rsidR="00020AE8" w:rsidRDefault="00000000">
            <w:pPr>
              <w:jc w:val="both"/>
              <w:rPr>
                <w:color w:val="222222"/>
                <w:sz w:val="20"/>
                <w:szCs w:val="20"/>
                <w:highlight w:val="white"/>
              </w:rPr>
            </w:pPr>
            <w:r>
              <w:rPr>
                <w:color w:val="222222"/>
                <w:sz w:val="20"/>
                <w:szCs w:val="20"/>
                <w:highlight w:val="white"/>
              </w:rPr>
              <w:t>Población: Comunitaria/escolar, España</w:t>
            </w:r>
          </w:p>
        </w:tc>
        <w:tc>
          <w:tcPr>
            <w:tcW w:w="2265" w:type="dxa"/>
            <w:tcBorders>
              <w:bottom w:val="single" w:sz="8" w:space="0" w:color="000000"/>
              <w:right w:val="single" w:sz="8" w:space="0" w:color="FFFFFF"/>
            </w:tcBorders>
            <w:tcMar>
              <w:top w:w="80" w:type="dxa"/>
              <w:left w:w="100" w:type="dxa"/>
              <w:bottom w:w="80" w:type="dxa"/>
              <w:right w:w="100" w:type="dxa"/>
            </w:tcMar>
          </w:tcPr>
          <w:p w14:paraId="01755404" w14:textId="77777777" w:rsidR="00020AE8" w:rsidRDefault="00000000">
            <w:pPr>
              <w:jc w:val="both"/>
              <w:rPr>
                <w:color w:val="222222"/>
                <w:sz w:val="20"/>
                <w:szCs w:val="20"/>
                <w:highlight w:val="white"/>
              </w:rPr>
            </w:pPr>
            <w:r>
              <w:rPr>
                <w:color w:val="222222"/>
                <w:sz w:val="20"/>
                <w:szCs w:val="20"/>
                <w:highlight w:val="white"/>
              </w:rPr>
              <w:t>WLEIS — Regulación emocional</w:t>
            </w:r>
          </w:p>
        </w:tc>
        <w:tc>
          <w:tcPr>
            <w:tcW w:w="2490" w:type="dxa"/>
            <w:tcBorders>
              <w:bottom w:val="single" w:sz="8" w:space="0" w:color="000000"/>
              <w:right w:val="single" w:sz="8" w:space="0" w:color="FFFFFF"/>
            </w:tcBorders>
            <w:tcMar>
              <w:top w:w="80" w:type="dxa"/>
              <w:left w:w="100" w:type="dxa"/>
              <w:bottom w:w="80" w:type="dxa"/>
              <w:right w:w="100" w:type="dxa"/>
            </w:tcMar>
          </w:tcPr>
          <w:p w14:paraId="0D24D6DA" w14:textId="77777777" w:rsidR="00020AE8" w:rsidRDefault="00000000">
            <w:pPr>
              <w:jc w:val="both"/>
              <w:rPr>
                <w:color w:val="222222"/>
                <w:sz w:val="20"/>
                <w:szCs w:val="20"/>
                <w:highlight w:val="white"/>
              </w:rPr>
            </w:pPr>
            <w:r>
              <w:rPr>
                <w:color w:val="222222"/>
                <w:sz w:val="20"/>
                <w:szCs w:val="20"/>
                <w:highlight w:val="white"/>
              </w:rPr>
              <w:t>CPV-Q (madre/padre)</w:t>
            </w:r>
          </w:p>
        </w:tc>
      </w:tr>
    </w:tbl>
    <w:p w14:paraId="6549069A" w14:textId="77777777" w:rsidR="00020AE8" w:rsidRDefault="00000000">
      <w:pPr>
        <w:spacing w:before="160"/>
        <w:ind w:left="-566" w:right="-692"/>
        <w:jc w:val="both"/>
        <w:rPr>
          <w:color w:val="222222"/>
          <w:sz w:val="20"/>
          <w:szCs w:val="20"/>
          <w:highlight w:val="white"/>
        </w:rPr>
      </w:pPr>
      <w:r>
        <w:rPr>
          <w:i/>
          <w:iCs/>
          <w:color w:val="222222"/>
          <w:sz w:val="20"/>
          <w:szCs w:val="20"/>
          <w:highlight w:val="white"/>
        </w:rPr>
        <w:t xml:space="preserve">Nota. </w:t>
      </w:r>
      <w:r>
        <w:rPr>
          <w:color w:val="222222"/>
          <w:sz w:val="20"/>
          <w:szCs w:val="20"/>
          <w:highlight w:val="white"/>
        </w:rPr>
        <w:t>VFP = Violencia Filio-Parental; TDAH = Trastorno por Déficit de Atención e Hiperactividad. Instrumentos: AECS = Cuestionario de Actitudes y Estrategias Cognitivo-Sociales; SIP = Cuestionario de Procesamiento de la Información Social en Conflictos Hijos-Padres; ADHD-RS = ADHD-Rating Scale; ODBI = Oppositional Defiant Behavior Inventory; SIPCPC-Q = Social Information Processing in Child-to-Parent Conflicts Questionnaire; YPI-S = Youth Psychopathic traits Inventory-Short form; IPPA-R = Inventario de Apego a Padres y Pares; STAXI-2 = State-Trait Anger Expression Inventory-2; BFQ-CA = Big Five Questionnaire for Children and Adolescents; TAS-20 = Toronto Alexithymia Scale; BIS-Brief = Barratt Impulsiveness Scale-Brief; WLEIS = Wong and Law Emotional Intelligence Scale; PYPA = Physical Youth-to-Parent Aggression; CPVR/RVFP = Guía de Valoración del Riesgo de Violencia Filio-Parental. Ningún estudio del corpus midió la desregulación emocional como constructo unificado: todos los valores de esta columna corresponden a proxies (impulsividad, ira, alexitimia, síntomas de TDAH, entre otros). Loinaz, Barboni y Ma-de-Sousa (2020) y Loinaz y de Sousa (2020) son dos publicaciones distintas que analizan, con distinto foco, la misma muestra base de 91 casos.</w:t>
      </w:r>
    </w:p>
    <w:p w14:paraId="3D8F3C61" w14:textId="77777777" w:rsidR="00020AE8" w:rsidRDefault="00020AE8">
      <w:pPr>
        <w:spacing w:line="360" w:lineRule="auto"/>
        <w:rPr>
          <w:i/>
          <w:iCs/>
          <w:color w:val="222222"/>
          <w:highlight w:val="white"/>
        </w:rPr>
      </w:pPr>
    </w:p>
    <w:p w14:paraId="3B0C276F" w14:textId="77777777" w:rsidR="00020AE8" w:rsidRDefault="00000000">
      <w:pPr>
        <w:spacing w:line="360" w:lineRule="auto"/>
        <w:jc w:val="both"/>
        <w:rPr>
          <w:b/>
          <w:bCs/>
          <w:color w:val="222222"/>
          <w:highlight w:val="white"/>
        </w:rPr>
      </w:pPr>
      <w:r>
        <w:rPr>
          <w:b/>
          <w:bCs/>
          <w:color w:val="222222"/>
          <w:highlight w:val="white"/>
        </w:rPr>
        <w:t>Tabla 3</w:t>
      </w:r>
    </w:p>
    <w:p w14:paraId="5C51B121" w14:textId="77777777" w:rsidR="00020AE8" w:rsidRDefault="00000000">
      <w:pPr>
        <w:spacing w:after="200" w:line="360" w:lineRule="auto"/>
        <w:jc w:val="both"/>
        <w:rPr>
          <w:i/>
          <w:iCs/>
          <w:color w:val="222222"/>
          <w:highlight w:val="white"/>
        </w:rPr>
      </w:pPr>
      <w:r>
        <w:rPr>
          <w:i/>
          <w:iCs/>
          <w:color w:val="222222"/>
          <w:highlight w:val="white"/>
        </w:rPr>
        <w:t>Síntesis temática de los estudios incluidos según el análisis de Braun y Clarke (2006) (N = 18)</w:t>
      </w:r>
    </w:p>
    <w:tbl>
      <w:tblPr>
        <w:tblStyle w:val="a1"/>
        <w:tblW w:w="10230" w:type="dxa"/>
        <w:tblInd w:w="-5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95"/>
        <w:gridCol w:w="5355"/>
        <w:gridCol w:w="1680"/>
      </w:tblGrid>
      <w:tr w:rsidR="00020AE8" w14:paraId="350F9224" w14:textId="77777777">
        <w:trPr>
          <w:trHeight w:val="450"/>
        </w:trPr>
        <w:tc>
          <w:tcPr>
            <w:tcW w:w="3195"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vAlign w:val="bottom"/>
          </w:tcPr>
          <w:p w14:paraId="450516BB"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Tema</w:t>
            </w:r>
          </w:p>
        </w:tc>
        <w:tc>
          <w:tcPr>
            <w:tcW w:w="5355" w:type="dxa"/>
            <w:tcBorders>
              <w:top w:val="single" w:sz="8" w:space="0" w:color="FFFFFF"/>
              <w:bottom w:val="single" w:sz="8" w:space="0" w:color="000000"/>
              <w:right w:val="single" w:sz="8" w:space="0" w:color="FFFFFF"/>
            </w:tcBorders>
            <w:tcMar>
              <w:top w:w="100" w:type="dxa"/>
              <w:left w:w="100" w:type="dxa"/>
              <w:bottom w:w="100" w:type="dxa"/>
              <w:right w:w="100" w:type="dxa"/>
            </w:tcMar>
            <w:vAlign w:val="bottom"/>
          </w:tcPr>
          <w:p w14:paraId="6F45D24E"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Estudios que lo sostienen</w:t>
            </w:r>
          </w:p>
        </w:tc>
        <w:tc>
          <w:tcPr>
            <w:tcW w:w="1680" w:type="dxa"/>
            <w:tcBorders>
              <w:top w:val="single" w:sz="8" w:space="0" w:color="FFFFFF"/>
              <w:bottom w:val="single" w:sz="8" w:space="0" w:color="000000"/>
              <w:right w:val="single" w:sz="8" w:space="0" w:color="FFFFFF"/>
            </w:tcBorders>
            <w:tcMar>
              <w:top w:w="100" w:type="dxa"/>
              <w:left w:w="100" w:type="dxa"/>
              <w:bottom w:w="100" w:type="dxa"/>
              <w:right w:w="100" w:type="dxa"/>
            </w:tcMar>
            <w:vAlign w:val="bottom"/>
          </w:tcPr>
          <w:p w14:paraId="64A1FA63" w14:textId="77777777" w:rsidR="00020AE8" w:rsidRDefault="00000000">
            <w:pPr>
              <w:spacing w:line="360" w:lineRule="auto"/>
              <w:jc w:val="both"/>
              <w:rPr>
                <w:b/>
                <w:bCs/>
                <w:i/>
                <w:iCs/>
                <w:color w:val="222222"/>
                <w:sz w:val="20"/>
                <w:szCs w:val="20"/>
                <w:highlight w:val="white"/>
              </w:rPr>
            </w:pPr>
            <w:r>
              <w:rPr>
                <w:b/>
                <w:bCs/>
                <w:i/>
                <w:iCs/>
                <w:color w:val="222222"/>
                <w:sz w:val="20"/>
                <w:szCs w:val="20"/>
                <w:highlight w:val="white"/>
              </w:rPr>
              <w:t>Confianza</w:t>
            </w:r>
          </w:p>
        </w:tc>
      </w:tr>
      <w:tr w:rsidR="00020AE8" w14:paraId="44EE9052" w14:textId="77777777">
        <w:trPr>
          <w:trHeight w:val="930"/>
        </w:trPr>
        <w:tc>
          <w:tcPr>
            <w:tcW w:w="319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31663151" w14:textId="77777777" w:rsidR="00020AE8" w:rsidRDefault="00000000">
            <w:pPr>
              <w:jc w:val="both"/>
              <w:rPr>
                <w:color w:val="222222"/>
                <w:sz w:val="20"/>
                <w:szCs w:val="20"/>
                <w:highlight w:val="white"/>
              </w:rPr>
            </w:pPr>
            <w:r>
              <w:rPr>
                <w:color w:val="222222"/>
                <w:sz w:val="20"/>
                <w:szCs w:val="20"/>
                <w:highlight w:val="white"/>
              </w:rPr>
              <w:t>Tema 1. La desregulación emocional como factor de riesgo consistente, aunque no suficiente</w:t>
            </w:r>
          </w:p>
        </w:tc>
        <w:tc>
          <w:tcPr>
            <w:tcW w:w="5355" w:type="dxa"/>
            <w:tcBorders>
              <w:bottom w:val="single" w:sz="8" w:space="0" w:color="FFFFFF"/>
              <w:right w:val="single" w:sz="8" w:space="0" w:color="FFFFFF"/>
            </w:tcBorders>
            <w:tcMar>
              <w:top w:w="100" w:type="dxa"/>
              <w:left w:w="100" w:type="dxa"/>
              <w:bottom w:w="100" w:type="dxa"/>
              <w:right w:w="100" w:type="dxa"/>
            </w:tcMar>
          </w:tcPr>
          <w:p w14:paraId="387EB9C8" w14:textId="77777777" w:rsidR="00020AE8" w:rsidRDefault="00000000">
            <w:pPr>
              <w:jc w:val="both"/>
              <w:rPr>
                <w:color w:val="222222"/>
                <w:sz w:val="20"/>
                <w:szCs w:val="20"/>
                <w:highlight w:val="white"/>
              </w:rPr>
            </w:pPr>
            <w:r>
              <w:rPr>
                <w:color w:val="222222"/>
                <w:sz w:val="20"/>
                <w:szCs w:val="20"/>
                <w:highlight w:val="white"/>
              </w:rPr>
              <w:t>Jiménez García-Escribano (2020); Sasaki et al. (2021, 2025); Martínez-Ferrer et al. (2018); Del Hoyo-Bilbao et al. (2020); Chou et al. (2025); Bechtiger et al. (2026)</w:t>
            </w:r>
          </w:p>
        </w:tc>
        <w:tc>
          <w:tcPr>
            <w:tcW w:w="1680" w:type="dxa"/>
            <w:tcBorders>
              <w:bottom w:val="single" w:sz="8" w:space="0" w:color="FFFFFF"/>
              <w:right w:val="single" w:sz="8" w:space="0" w:color="FFFFFF"/>
            </w:tcBorders>
            <w:tcMar>
              <w:top w:w="100" w:type="dxa"/>
              <w:left w:w="100" w:type="dxa"/>
              <w:bottom w:w="100" w:type="dxa"/>
              <w:right w:w="100" w:type="dxa"/>
            </w:tcMar>
          </w:tcPr>
          <w:p w14:paraId="70AA00D3" w14:textId="77777777" w:rsidR="00020AE8" w:rsidRDefault="00000000">
            <w:pPr>
              <w:spacing w:line="360" w:lineRule="auto"/>
              <w:jc w:val="both"/>
              <w:rPr>
                <w:color w:val="222222"/>
                <w:sz w:val="20"/>
                <w:szCs w:val="20"/>
                <w:highlight w:val="white"/>
              </w:rPr>
            </w:pPr>
            <w:r>
              <w:rPr>
                <w:color w:val="222222"/>
                <w:sz w:val="20"/>
                <w:szCs w:val="20"/>
                <w:highlight w:val="white"/>
              </w:rPr>
              <w:t>Alta</w:t>
            </w:r>
          </w:p>
        </w:tc>
      </w:tr>
      <w:tr w:rsidR="00020AE8" w14:paraId="3757371C" w14:textId="77777777">
        <w:trPr>
          <w:trHeight w:val="1155"/>
        </w:trPr>
        <w:tc>
          <w:tcPr>
            <w:tcW w:w="319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0F236266" w14:textId="77777777" w:rsidR="00020AE8" w:rsidRDefault="00000000">
            <w:pPr>
              <w:jc w:val="both"/>
              <w:rPr>
                <w:color w:val="222222"/>
                <w:sz w:val="20"/>
                <w:szCs w:val="20"/>
                <w:highlight w:val="white"/>
              </w:rPr>
            </w:pPr>
            <w:r>
              <w:rPr>
                <w:color w:val="222222"/>
                <w:sz w:val="20"/>
                <w:szCs w:val="20"/>
                <w:highlight w:val="white"/>
              </w:rPr>
              <w:t>Tema 2. La impulsividad como núcleo proximal, de papel variable</w:t>
            </w:r>
          </w:p>
        </w:tc>
        <w:tc>
          <w:tcPr>
            <w:tcW w:w="5355" w:type="dxa"/>
            <w:tcBorders>
              <w:bottom w:val="single" w:sz="8" w:space="0" w:color="FFFFFF"/>
              <w:right w:val="single" w:sz="8" w:space="0" w:color="FFFFFF"/>
            </w:tcBorders>
            <w:tcMar>
              <w:top w:w="100" w:type="dxa"/>
              <w:left w:w="100" w:type="dxa"/>
              <w:bottom w:w="100" w:type="dxa"/>
              <w:right w:w="100" w:type="dxa"/>
            </w:tcMar>
          </w:tcPr>
          <w:p w14:paraId="5B8296E7" w14:textId="77777777" w:rsidR="00020AE8" w:rsidRDefault="00000000">
            <w:pPr>
              <w:jc w:val="both"/>
              <w:rPr>
                <w:color w:val="222222"/>
                <w:sz w:val="20"/>
                <w:szCs w:val="20"/>
                <w:highlight w:val="white"/>
              </w:rPr>
            </w:pPr>
            <w:r>
              <w:rPr>
                <w:color w:val="222222"/>
                <w:sz w:val="20"/>
                <w:szCs w:val="20"/>
                <w:highlight w:val="white"/>
              </w:rPr>
              <w:t>Del Hoyo-Bilbao et al. (2020); Jiménez García-Escribano (2020); Sasaki et al. (2021, 2025); Gao et al. (2026); Jiménez-Granado et al. (2023); Loinaz et al. (2020); Loinaz y de Sousa (2020)</w:t>
            </w:r>
          </w:p>
        </w:tc>
        <w:tc>
          <w:tcPr>
            <w:tcW w:w="1680" w:type="dxa"/>
            <w:tcBorders>
              <w:bottom w:val="single" w:sz="8" w:space="0" w:color="FFFFFF"/>
              <w:right w:val="single" w:sz="8" w:space="0" w:color="FFFFFF"/>
            </w:tcBorders>
            <w:tcMar>
              <w:top w:w="100" w:type="dxa"/>
              <w:left w:w="100" w:type="dxa"/>
              <w:bottom w:w="100" w:type="dxa"/>
              <w:right w:w="100" w:type="dxa"/>
            </w:tcMar>
          </w:tcPr>
          <w:p w14:paraId="3BE4106F" w14:textId="77777777" w:rsidR="00020AE8" w:rsidRDefault="00000000">
            <w:pPr>
              <w:spacing w:line="360" w:lineRule="auto"/>
              <w:jc w:val="both"/>
              <w:rPr>
                <w:color w:val="222222"/>
                <w:sz w:val="20"/>
                <w:szCs w:val="20"/>
                <w:highlight w:val="white"/>
              </w:rPr>
            </w:pPr>
            <w:r>
              <w:rPr>
                <w:color w:val="222222"/>
                <w:sz w:val="20"/>
                <w:szCs w:val="20"/>
                <w:highlight w:val="white"/>
              </w:rPr>
              <w:t>Moderada</w:t>
            </w:r>
          </w:p>
        </w:tc>
      </w:tr>
      <w:tr w:rsidR="00020AE8" w14:paraId="31F1FC4D" w14:textId="77777777">
        <w:trPr>
          <w:trHeight w:val="915"/>
        </w:trPr>
        <w:tc>
          <w:tcPr>
            <w:tcW w:w="319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27E9FD46" w14:textId="77777777" w:rsidR="00020AE8" w:rsidRDefault="00000000">
            <w:pPr>
              <w:jc w:val="both"/>
              <w:rPr>
                <w:color w:val="222222"/>
                <w:sz w:val="20"/>
                <w:szCs w:val="20"/>
                <w:highlight w:val="white"/>
              </w:rPr>
            </w:pPr>
            <w:r>
              <w:rPr>
                <w:color w:val="222222"/>
                <w:sz w:val="20"/>
                <w:szCs w:val="20"/>
                <w:highlight w:val="white"/>
              </w:rPr>
              <w:t>Tema 3. La ira y la activación emocional reactiva: especificidad con la VFP reactiva</w:t>
            </w:r>
          </w:p>
        </w:tc>
        <w:tc>
          <w:tcPr>
            <w:tcW w:w="5355" w:type="dxa"/>
            <w:tcBorders>
              <w:bottom w:val="single" w:sz="8" w:space="0" w:color="FFFFFF"/>
              <w:right w:val="single" w:sz="8" w:space="0" w:color="FFFFFF"/>
            </w:tcBorders>
            <w:tcMar>
              <w:top w:w="100" w:type="dxa"/>
              <w:left w:w="100" w:type="dxa"/>
              <w:bottom w:w="100" w:type="dxa"/>
              <w:right w:w="100" w:type="dxa"/>
            </w:tcMar>
          </w:tcPr>
          <w:p w14:paraId="56A62093" w14:textId="77777777" w:rsidR="00020AE8" w:rsidRDefault="00000000">
            <w:pPr>
              <w:jc w:val="both"/>
              <w:rPr>
                <w:color w:val="222222"/>
                <w:sz w:val="20"/>
                <w:szCs w:val="20"/>
                <w:highlight w:val="white"/>
              </w:rPr>
            </w:pPr>
            <w:r>
              <w:rPr>
                <w:color w:val="222222"/>
                <w:sz w:val="20"/>
                <w:szCs w:val="20"/>
                <w:highlight w:val="white"/>
              </w:rPr>
              <w:t>Cano-Lozano et al. (2020, 2023); Navas-Martínez y Cano-Lozano (2023); Cortina y Martín (2020); Jiménez García-Escribano (2020)</w:t>
            </w:r>
          </w:p>
        </w:tc>
        <w:tc>
          <w:tcPr>
            <w:tcW w:w="1680" w:type="dxa"/>
            <w:tcBorders>
              <w:bottom w:val="single" w:sz="8" w:space="0" w:color="FFFFFF"/>
              <w:right w:val="single" w:sz="8" w:space="0" w:color="FFFFFF"/>
            </w:tcBorders>
            <w:tcMar>
              <w:top w:w="100" w:type="dxa"/>
              <w:left w:w="100" w:type="dxa"/>
              <w:bottom w:w="100" w:type="dxa"/>
              <w:right w:w="100" w:type="dxa"/>
            </w:tcMar>
          </w:tcPr>
          <w:p w14:paraId="3E3C7F72" w14:textId="77777777" w:rsidR="00020AE8" w:rsidRDefault="00000000">
            <w:pPr>
              <w:spacing w:line="360" w:lineRule="auto"/>
              <w:jc w:val="both"/>
              <w:rPr>
                <w:color w:val="222222"/>
                <w:sz w:val="20"/>
                <w:szCs w:val="20"/>
                <w:highlight w:val="white"/>
              </w:rPr>
            </w:pPr>
            <w:r>
              <w:rPr>
                <w:color w:val="222222"/>
                <w:sz w:val="20"/>
                <w:szCs w:val="20"/>
                <w:highlight w:val="white"/>
              </w:rPr>
              <w:t>Alta</w:t>
            </w:r>
          </w:p>
        </w:tc>
      </w:tr>
      <w:tr w:rsidR="00020AE8" w14:paraId="36D6DDB9" w14:textId="77777777">
        <w:trPr>
          <w:trHeight w:val="1155"/>
        </w:trPr>
        <w:tc>
          <w:tcPr>
            <w:tcW w:w="319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2B68DF2E" w14:textId="77777777" w:rsidR="00020AE8" w:rsidRDefault="00000000">
            <w:pPr>
              <w:jc w:val="both"/>
              <w:rPr>
                <w:color w:val="222222"/>
                <w:sz w:val="20"/>
                <w:szCs w:val="20"/>
                <w:highlight w:val="white"/>
              </w:rPr>
            </w:pPr>
            <w:r>
              <w:rPr>
                <w:color w:val="222222"/>
                <w:sz w:val="20"/>
                <w:szCs w:val="20"/>
                <w:highlight w:val="white"/>
              </w:rPr>
              <w:lastRenderedPageBreak/>
              <w:t>Tema 4. La modulación por el género: una vía emocional más marcada en las mujeres</w:t>
            </w:r>
          </w:p>
        </w:tc>
        <w:tc>
          <w:tcPr>
            <w:tcW w:w="5355" w:type="dxa"/>
            <w:tcBorders>
              <w:bottom w:val="single" w:sz="8" w:space="0" w:color="FFFFFF"/>
              <w:right w:val="single" w:sz="8" w:space="0" w:color="FFFFFF"/>
            </w:tcBorders>
            <w:tcMar>
              <w:top w:w="100" w:type="dxa"/>
              <w:left w:w="100" w:type="dxa"/>
              <w:bottom w:w="100" w:type="dxa"/>
              <w:right w:w="100" w:type="dxa"/>
            </w:tcMar>
          </w:tcPr>
          <w:p w14:paraId="7146ACF1" w14:textId="77777777" w:rsidR="00020AE8" w:rsidRDefault="00000000">
            <w:pPr>
              <w:jc w:val="both"/>
              <w:rPr>
                <w:color w:val="222222"/>
                <w:sz w:val="20"/>
                <w:szCs w:val="20"/>
                <w:highlight w:val="white"/>
              </w:rPr>
            </w:pPr>
            <w:r>
              <w:rPr>
                <w:color w:val="222222"/>
                <w:sz w:val="20"/>
                <w:szCs w:val="20"/>
                <w:highlight w:val="white"/>
              </w:rPr>
              <w:t>Martínez-Ferrer et al. (2018); Del Hoyo-Bilbao et al. (2020); Navas-Martínez y Cano-Lozano (2023); Cano-Lozano et al. (2023); Cortina y Martín (2020); Loinaz et al. (2020)</w:t>
            </w:r>
          </w:p>
        </w:tc>
        <w:tc>
          <w:tcPr>
            <w:tcW w:w="1680" w:type="dxa"/>
            <w:tcBorders>
              <w:bottom w:val="single" w:sz="8" w:space="0" w:color="FFFFFF"/>
              <w:right w:val="single" w:sz="8" w:space="0" w:color="FFFFFF"/>
            </w:tcBorders>
            <w:tcMar>
              <w:top w:w="100" w:type="dxa"/>
              <w:left w:w="100" w:type="dxa"/>
              <w:bottom w:w="100" w:type="dxa"/>
              <w:right w:w="100" w:type="dxa"/>
            </w:tcMar>
          </w:tcPr>
          <w:p w14:paraId="3F659376" w14:textId="77777777" w:rsidR="00020AE8" w:rsidRDefault="00000000">
            <w:pPr>
              <w:spacing w:line="360" w:lineRule="auto"/>
              <w:jc w:val="both"/>
              <w:rPr>
                <w:color w:val="222222"/>
                <w:sz w:val="20"/>
                <w:szCs w:val="20"/>
                <w:highlight w:val="white"/>
              </w:rPr>
            </w:pPr>
            <w:r>
              <w:rPr>
                <w:color w:val="222222"/>
                <w:sz w:val="20"/>
                <w:szCs w:val="20"/>
                <w:highlight w:val="white"/>
              </w:rPr>
              <w:t>Moderada</w:t>
            </w:r>
          </w:p>
        </w:tc>
      </w:tr>
      <w:tr w:rsidR="00020AE8" w14:paraId="7298CBC7" w14:textId="77777777">
        <w:trPr>
          <w:trHeight w:val="1155"/>
        </w:trPr>
        <w:tc>
          <w:tcPr>
            <w:tcW w:w="319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6C04E376" w14:textId="77777777" w:rsidR="00020AE8" w:rsidRDefault="00000000">
            <w:pPr>
              <w:jc w:val="both"/>
              <w:rPr>
                <w:color w:val="222222"/>
                <w:sz w:val="20"/>
                <w:szCs w:val="20"/>
                <w:highlight w:val="white"/>
              </w:rPr>
            </w:pPr>
            <w:r>
              <w:rPr>
                <w:color w:val="222222"/>
                <w:sz w:val="20"/>
                <w:szCs w:val="20"/>
                <w:highlight w:val="white"/>
              </w:rPr>
              <w:t>Tema 5. La desregulación inserta en cadenas multifactoriales: parentalidad, trauma y cognición</w:t>
            </w:r>
          </w:p>
        </w:tc>
        <w:tc>
          <w:tcPr>
            <w:tcW w:w="5355" w:type="dxa"/>
            <w:tcBorders>
              <w:bottom w:val="single" w:sz="8" w:space="0" w:color="FFFFFF"/>
              <w:right w:val="single" w:sz="8" w:space="0" w:color="FFFFFF"/>
            </w:tcBorders>
            <w:tcMar>
              <w:top w:w="100" w:type="dxa"/>
              <w:left w:w="100" w:type="dxa"/>
              <w:bottom w:w="100" w:type="dxa"/>
              <w:right w:w="100" w:type="dxa"/>
            </w:tcMar>
          </w:tcPr>
          <w:p w14:paraId="12971D3B" w14:textId="77777777" w:rsidR="00020AE8" w:rsidRDefault="00000000">
            <w:pPr>
              <w:jc w:val="both"/>
              <w:rPr>
                <w:color w:val="222222"/>
                <w:sz w:val="20"/>
                <w:szCs w:val="20"/>
                <w:highlight w:val="white"/>
              </w:rPr>
            </w:pPr>
            <w:r>
              <w:rPr>
                <w:color w:val="222222"/>
                <w:sz w:val="20"/>
                <w:szCs w:val="20"/>
                <w:highlight w:val="white"/>
              </w:rPr>
              <w:t>Martínez-Ferrer et al. (2018); Cano-Lozano et al. (2020, 2023); Gao et al. (2026); Jiménez-Granado et al. (2023); Bechtiger et al. (2026); Contreras y Cano (2016); Papamichail y Bates (2022); Baker et al. (2025)</w:t>
            </w:r>
          </w:p>
        </w:tc>
        <w:tc>
          <w:tcPr>
            <w:tcW w:w="1680" w:type="dxa"/>
            <w:tcBorders>
              <w:bottom w:val="single" w:sz="8" w:space="0" w:color="FFFFFF"/>
              <w:right w:val="single" w:sz="8" w:space="0" w:color="FFFFFF"/>
            </w:tcBorders>
            <w:tcMar>
              <w:top w:w="100" w:type="dxa"/>
              <w:left w:w="100" w:type="dxa"/>
              <w:bottom w:w="100" w:type="dxa"/>
              <w:right w:w="100" w:type="dxa"/>
            </w:tcMar>
          </w:tcPr>
          <w:p w14:paraId="4A49218C" w14:textId="77777777" w:rsidR="00020AE8" w:rsidRDefault="00000000">
            <w:pPr>
              <w:spacing w:line="360" w:lineRule="auto"/>
              <w:jc w:val="both"/>
              <w:rPr>
                <w:color w:val="222222"/>
                <w:sz w:val="20"/>
                <w:szCs w:val="20"/>
                <w:highlight w:val="white"/>
              </w:rPr>
            </w:pPr>
            <w:r>
              <w:rPr>
                <w:color w:val="222222"/>
                <w:sz w:val="20"/>
                <w:szCs w:val="20"/>
                <w:highlight w:val="white"/>
              </w:rPr>
              <w:t>Matizada</w:t>
            </w:r>
          </w:p>
        </w:tc>
      </w:tr>
      <w:tr w:rsidR="00020AE8" w14:paraId="65FD5A71" w14:textId="77777777">
        <w:trPr>
          <w:trHeight w:val="930"/>
        </w:trPr>
        <w:tc>
          <w:tcPr>
            <w:tcW w:w="3195" w:type="dxa"/>
            <w:tcBorders>
              <w:left w:val="single" w:sz="8" w:space="0" w:color="FFFFFF"/>
              <w:bottom w:val="single" w:sz="8" w:space="0" w:color="000000"/>
              <w:right w:val="single" w:sz="8" w:space="0" w:color="FFFFFF"/>
            </w:tcBorders>
            <w:tcMar>
              <w:top w:w="100" w:type="dxa"/>
              <w:left w:w="100" w:type="dxa"/>
              <w:bottom w:w="100" w:type="dxa"/>
              <w:right w:w="100" w:type="dxa"/>
            </w:tcMar>
          </w:tcPr>
          <w:p w14:paraId="6ACE7BEA" w14:textId="77777777" w:rsidR="00020AE8" w:rsidRDefault="00000000">
            <w:pPr>
              <w:jc w:val="both"/>
              <w:rPr>
                <w:color w:val="222222"/>
                <w:sz w:val="20"/>
                <w:szCs w:val="20"/>
                <w:highlight w:val="white"/>
              </w:rPr>
            </w:pPr>
            <w:r>
              <w:rPr>
                <w:color w:val="222222"/>
                <w:sz w:val="20"/>
                <w:szCs w:val="20"/>
                <w:highlight w:val="white"/>
              </w:rPr>
              <w:t>Tema 6. Alcances y límites de la evidencia</w:t>
            </w:r>
          </w:p>
        </w:tc>
        <w:tc>
          <w:tcPr>
            <w:tcW w:w="5355" w:type="dxa"/>
            <w:tcBorders>
              <w:bottom w:val="single" w:sz="8" w:space="0" w:color="000000"/>
              <w:right w:val="single" w:sz="8" w:space="0" w:color="FFFFFF"/>
            </w:tcBorders>
            <w:tcMar>
              <w:top w:w="100" w:type="dxa"/>
              <w:left w:w="100" w:type="dxa"/>
              <w:bottom w:w="100" w:type="dxa"/>
              <w:right w:w="100" w:type="dxa"/>
            </w:tcMar>
          </w:tcPr>
          <w:p w14:paraId="0E74AC22" w14:textId="77777777" w:rsidR="00020AE8" w:rsidRDefault="00000000">
            <w:pPr>
              <w:jc w:val="both"/>
              <w:rPr>
                <w:color w:val="222222"/>
                <w:sz w:val="20"/>
                <w:szCs w:val="20"/>
                <w:highlight w:val="white"/>
              </w:rPr>
            </w:pPr>
            <w:r>
              <w:rPr>
                <w:color w:val="222222"/>
                <w:sz w:val="20"/>
                <w:szCs w:val="20"/>
                <w:highlight w:val="white"/>
              </w:rPr>
              <w:t>Tema transversal, aplicado al conjunto del corpus (N = 18); estudio de referencia para la especificidad temporal: Bechtiger et al. (2026)</w:t>
            </w:r>
          </w:p>
        </w:tc>
        <w:tc>
          <w:tcPr>
            <w:tcW w:w="1680" w:type="dxa"/>
            <w:tcBorders>
              <w:bottom w:val="single" w:sz="8" w:space="0" w:color="000000"/>
              <w:right w:val="single" w:sz="8" w:space="0" w:color="FFFFFF"/>
            </w:tcBorders>
            <w:tcMar>
              <w:top w:w="100" w:type="dxa"/>
              <w:left w:w="100" w:type="dxa"/>
              <w:bottom w:w="100" w:type="dxa"/>
              <w:right w:w="100" w:type="dxa"/>
            </w:tcMar>
          </w:tcPr>
          <w:p w14:paraId="2CFC4C06" w14:textId="77777777" w:rsidR="00020AE8" w:rsidRDefault="00000000">
            <w:pPr>
              <w:spacing w:line="360" w:lineRule="auto"/>
              <w:jc w:val="both"/>
              <w:rPr>
                <w:color w:val="222222"/>
                <w:sz w:val="20"/>
                <w:szCs w:val="20"/>
                <w:highlight w:val="white"/>
              </w:rPr>
            </w:pPr>
            <w:r>
              <w:rPr>
                <w:color w:val="222222"/>
                <w:sz w:val="20"/>
                <w:szCs w:val="20"/>
                <w:highlight w:val="white"/>
              </w:rPr>
              <w:t>Transversal</w:t>
            </w:r>
          </w:p>
        </w:tc>
      </w:tr>
    </w:tbl>
    <w:p w14:paraId="4383A034" w14:textId="77777777" w:rsidR="00020AE8" w:rsidRDefault="00000000">
      <w:pPr>
        <w:spacing w:before="200"/>
        <w:ind w:left="-425" w:right="-704"/>
        <w:jc w:val="both"/>
        <w:rPr>
          <w:color w:val="222222"/>
          <w:sz w:val="20"/>
          <w:szCs w:val="20"/>
          <w:highlight w:val="white"/>
        </w:rPr>
      </w:pPr>
      <w:r>
        <w:rPr>
          <w:i/>
          <w:iCs/>
          <w:color w:val="222222"/>
          <w:sz w:val="20"/>
          <w:szCs w:val="20"/>
          <w:highlight w:val="white"/>
        </w:rPr>
        <w:t xml:space="preserve">Nota. </w:t>
      </w:r>
      <w:r>
        <w:rPr>
          <w:color w:val="222222"/>
          <w:sz w:val="20"/>
          <w:szCs w:val="20"/>
          <w:highlight w:val="white"/>
        </w:rPr>
        <w:t>N = 18 estudios incluidos en la revisión. La confianza atribuida a cada tema pondera el riesgo de sesgo de los estudios que lo sostienen, evaluado con la Newcastle-Ottawa Scale (estudios cuantitativos) y el Critical Appraisal Skills Programme (estudios cualitativos), conforme a PRISMA 2020 (Page et al., 2021). Loinaz, Barboni y Ma-de-Sousa (2020) y Loinaz y de Sousa (2020) comparten una misma muestra base de aproximadamente 91 casos y deben considerarse dependientes, no independientes, al ponderar la cantidad de estudios que sostienen el Tema 2.</w:t>
      </w:r>
    </w:p>
    <w:p w14:paraId="2BA5CE19" w14:textId="77777777" w:rsidR="00020AE8" w:rsidRDefault="00020AE8">
      <w:pPr>
        <w:spacing w:line="360" w:lineRule="auto"/>
        <w:rPr>
          <w:i/>
          <w:iCs/>
          <w:color w:val="222222"/>
          <w:highlight w:val="white"/>
        </w:rPr>
      </w:pPr>
    </w:p>
    <w:p w14:paraId="12E05B71" w14:textId="77777777" w:rsidR="00020AE8" w:rsidRDefault="00000000">
      <w:pPr>
        <w:rPr>
          <w:b/>
          <w:bCs/>
          <w:color w:val="222222"/>
        </w:rPr>
      </w:pPr>
      <w:r>
        <w:rPr>
          <w:b/>
          <w:bCs/>
          <w:color w:val="222222"/>
        </w:rPr>
        <w:t>Tabla 4</w:t>
      </w:r>
    </w:p>
    <w:p w14:paraId="4420C708" w14:textId="77777777" w:rsidR="00020AE8" w:rsidRDefault="00000000">
      <w:pPr>
        <w:spacing w:after="160"/>
        <w:rPr>
          <w:i/>
          <w:iCs/>
          <w:color w:val="222222"/>
        </w:rPr>
      </w:pPr>
      <w:r>
        <w:rPr>
          <w:i/>
          <w:iCs/>
          <w:color w:val="222222"/>
        </w:rPr>
        <w:t>Evaluación del riesgo de sesgo de los estudios incluidos (N = 18)</w:t>
      </w:r>
    </w:p>
    <w:tbl>
      <w:tblPr>
        <w:tblStyle w:val="a2"/>
        <w:tblW w:w="10140" w:type="dxa"/>
        <w:tblInd w:w="-3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35"/>
        <w:gridCol w:w="1020"/>
        <w:gridCol w:w="795"/>
        <w:gridCol w:w="1005"/>
        <w:gridCol w:w="5385"/>
      </w:tblGrid>
      <w:tr w:rsidR="00020AE8" w14:paraId="2EA87AD6" w14:textId="77777777">
        <w:trPr>
          <w:trHeight w:val="615"/>
        </w:trPr>
        <w:tc>
          <w:tcPr>
            <w:tcW w:w="1935" w:type="dxa"/>
            <w:tcBorders>
              <w:top w:val="single" w:sz="8" w:space="0" w:color="FFFFFF"/>
              <w:left w:val="single" w:sz="8" w:space="0" w:color="FFFFFF"/>
              <w:bottom w:val="single" w:sz="8" w:space="0" w:color="000000"/>
              <w:right w:val="single" w:sz="8" w:space="0" w:color="FFFFFF"/>
            </w:tcBorders>
            <w:tcMar>
              <w:top w:w="80" w:type="dxa"/>
              <w:left w:w="100" w:type="dxa"/>
              <w:bottom w:w="80" w:type="dxa"/>
              <w:right w:w="100" w:type="dxa"/>
            </w:tcMar>
            <w:vAlign w:val="bottom"/>
          </w:tcPr>
          <w:p w14:paraId="38805499" w14:textId="77777777" w:rsidR="00020AE8" w:rsidRDefault="00000000">
            <w:pPr>
              <w:jc w:val="both"/>
              <w:rPr>
                <w:b/>
                <w:bCs/>
                <w:i/>
                <w:iCs/>
                <w:color w:val="222222"/>
                <w:sz w:val="20"/>
                <w:szCs w:val="20"/>
              </w:rPr>
            </w:pPr>
            <w:r>
              <w:rPr>
                <w:b/>
                <w:bCs/>
                <w:i/>
                <w:iCs/>
                <w:color w:val="222222"/>
                <w:sz w:val="20"/>
                <w:szCs w:val="20"/>
              </w:rPr>
              <w:t>Estudio</w:t>
            </w:r>
          </w:p>
        </w:tc>
        <w:tc>
          <w:tcPr>
            <w:tcW w:w="1020"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2E3A517E" w14:textId="77777777" w:rsidR="00020AE8" w:rsidRDefault="00000000">
            <w:pPr>
              <w:jc w:val="both"/>
              <w:rPr>
                <w:b/>
                <w:bCs/>
                <w:i/>
                <w:iCs/>
                <w:color w:val="222222"/>
                <w:sz w:val="20"/>
                <w:szCs w:val="20"/>
              </w:rPr>
            </w:pPr>
            <w:r>
              <w:rPr>
                <w:b/>
                <w:bCs/>
                <w:i/>
                <w:iCs/>
                <w:color w:val="222222"/>
                <w:sz w:val="20"/>
                <w:szCs w:val="20"/>
              </w:rPr>
              <w:t>Herramienta</w:t>
            </w:r>
          </w:p>
        </w:tc>
        <w:tc>
          <w:tcPr>
            <w:tcW w:w="795"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0E55156F" w14:textId="77777777" w:rsidR="00020AE8" w:rsidRDefault="00000000">
            <w:pPr>
              <w:jc w:val="both"/>
              <w:rPr>
                <w:b/>
                <w:bCs/>
                <w:i/>
                <w:iCs/>
                <w:color w:val="222222"/>
                <w:sz w:val="20"/>
                <w:szCs w:val="20"/>
              </w:rPr>
            </w:pPr>
            <w:r>
              <w:rPr>
                <w:b/>
                <w:bCs/>
                <w:i/>
                <w:iCs/>
                <w:color w:val="222222"/>
                <w:sz w:val="20"/>
                <w:szCs w:val="20"/>
              </w:rPr>
              <w:t>Puntaje</w:t>
            </w:r>
          </w:p>
        </w:tc>
        <w:tc>
          <w:tcPr>
            <w:tcW w:w="1005"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712401D0" w14:textId="77777777" w:rsidR="00020AE8" w:rsidRDefault="00000000">
            <w:pPr>
              <w:jc w:val="both"/>
              <w:rPr>
                <w:b/>
                <w:bCs/>
                <w:i/>
                <w:iCs/>
                <w:color w:val="222222"/>
                <w:sz w:val="20"/>
                <w:szCs w:val="20"/>
              </w:rPr>
            </w:pPr>
            <w:r>
              <w:rPr>
                <w:b/>
                <w:bCs/>
                <w:i/>
                <w:iCs/>
                <w:color w:val="222222"/>
                <w:sz w:val="20"/>
                <w:szCs w:val="20"/>
              </w:rPr>
              <w:t>Riesgo global</w:t>
            </w:r>
          </w:p>
        </w:tc>
        <w:tc>
          <w:tcPr>
            <w:tcW w:w="5385" w:type="dxa"/>
            <w:tcBorders>
              <w:top w:val="single" w:sz="8" w:space="0" w:color="FFFFFF"/>
              <w:bottom w:val="single" w:sz="8" w:space="0" w:color="000000"/>
              <w:right w:val="single" w:sz="8" w:space="0" w:color="FFFFFF"/>
            </w:tcBorders>
            <w:tcMar>
              <w:top w:w="80" w:type="dxa"/>
              <w:left w:w="100" w:type="dxa"/>
              <w:bottom w:w="80" w:type="dxa"/>
              <w:right w:w="100" w:type="dxa"/>
            </w:tcMar>
            <w:vAlign w:val="bottom"/>
          </w:tcPr>
          <w:p w14:paraId="0D667523" w14:textId="77777777" w:rsidR="00020AE8" w:rsidRDefault="00000000">
            <w:pPr>
              <w:jc w:val="both"/>
              <w:rPr>
                <w:b/>
                <w:bCs/>
                <w:i/>
                <w:iCs/>
                <w:color w:val="222222"/>
                <w:sz w:val="20"/>
                <w:szCs w:val="20"/>
              </w:rPr>
            </w:pPr>
            <w:r>
              <w:rPr>
                <w:b/>
                <w:bCs/>
                <w:i/>
                <w:iCs/>
                <w:color w:val="222222"/>
                <w:sz w:val="20"/>
                <w:szCs w:val="20"/>
              </w:rPr>
              <w:t>Limitaciones clave</w:t>
            </w:r>
          </w:p>
        </w:tc>
      </w:tr>
      <w:tr w:rsidR="00020AE8" w14:paraId="6F9F9A90" w14:textId="77777777">
        <w:trPr>
          <w:trHeight w:val="127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107D2349" w14:textId="77777777" w:rsidR="00020AE8" w:rsidRDefault="00000000">
            <w:pPr>
              <w:spacing w:line="223" w:lineRule="auto"/>
              <w:jc w:val="both"/>
              <w:rPr>
                <w:color w:val="222222"/>
                <w:sz w:val="20"/>
                <w:szCs w:val="20"/>
              </w:rPr>
            </w:pPr>
            <w:r>
              <w:rPr>
                <w:color w:val="222222"/>
                <w:sz w:val="20"/>
                <w:szCs w:val="20"/>
              </w:rPr>
              <w:t>Jiménez García-Escribano (2020)</w:t>
            </w:r>
          </w:p>
        </w:tc>
        <w:tc>
          <w:tcPr>
            <w:tcW w:w="1020" w:type="dxa"/>
            <w:tcBorders>
              <w:bottom w:val="single" w:sz="8" w:space="0" w:color="FFFFFF"/>
              <w:right w:val="single" w:sz="8" w:space="0" w:color="FFFFFF"/>
            </w:tcBorders>
            <w:tcMar>
              <w:top w:w="80" w:type="dxa"/>
              <w:left w:w="100" w:type="dxa"/>
              <w:bottom w:w="80" w:type="dxa"/>
              <w:right w:w="100" w:type="dxa"/>
            </w:tcMar>
          </w:tcPr>
          <w:p w14:paraId="2BBF5C32"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6740B83D" w14:textId="77777777" w:rsidR="00020AE8" w:rsidRDefault="00000000">
            <w:pPr>
              <w:spacing w:line="223" w:lineRule="auto"/>
              <w:jc w:val="both"/>
              <w:rPr>
                <w:color w:val="222222"/>
                <w:sz w:val="20"/>
                <w:szCs w:val="20"/>
              </w:rPr>
            </w:pPr>
            <w:r>
              <w:rPr>
                <w:color w:val="222222"/>
                <w:sz w:val="20"/>
                <w:szCs w:val="20"/>
              </w:rPr>
              <w:t>6/10</w:t>
            </w:r>
          </w:p>
        </w:tc>
        <w:tc>
          <w:tcPr>
            <w:tcW w:w="1005" w:type="dxa"/>
            <w:tcBorders>
              <w:bottom w:val="single" w:sz="8" w:space="0" w:color="FFFFFF"/>
              <w:right w:val="single" w:sz="8" w:space="0" w:color="FFFFFF"/>
            </w:tcBorders>
            <w:tcMar>
              <w:top w:w="80" w:type="dxa"/>
              <w:left w:w="100" w:type="dxa"/>
              <w:bottom w:w="80" w:type="dxa"/>
              <w:right w:w="100" w:type="dxa"/>
            </w:tcMar>
          </w:tcPr>
          <w:p w14:paraId="38E8E057"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58F33DD3" w14:textId="77777777" w:rsidR="00020AE8" w:rsidRDefault="00000000">
            <w:pPr>
              <w:spacing w:after="40" w:line="223" w:lineRule="auto"/>
              <w:jc w:val="both"/>
              <w:rPr>
                <w:color w:val="222222"/>
                <w:sz w:val="20"/>
                <w:szCs w:val="20"/>
              </w:rPr>
            </w:pPr>
            <w:r>
              <w:rPr>
                <w:color w:val="222222"/>
                <w:sz w:val="20"/>
                <w:szCs w:val="20"/>
              </w:rPr>
              <w:t>• Diseño transversal (sin causalidad ni descarte de bidireccionalidad)</w:t>
            </w:r>
          </w:p>
          <w:p w14:paraId="0697A7CA" w14:textId="77777777" w:rsidR="00020AE8" w:rsidRDefault="00000000">
            <w:pPr>
              <w:spacing w:after="40" w:line="223" w:lineRule="auto"/>
              <w:jc w:val="both"/>
              <w:rPr>
                <w:color w:val="222222"/>
                <w:sz w:val="20"/>
                <w:szCs w:val="20"/>
              </w:rPr>
            </w:pPr>
            <w:r>
              <w:rPr>
                <w:color w:val="222222"/>
                <w:sz w:val="20"/>
                <w:szCs w:val="20"/>
              </w:rPr>
              <w:t>• Autoinforme único del adolescente</w:t>
            </w:r>
          </w:p>
          <w:p w14:paraId="030CA596" w14:textId="77777777" w:rsidR="00020AE8" w:rsidRDefault="00000000">
            <w:pPr>
              <w:spacing w:after="40" w:line="223" w:lineRule="auto"/>
              <w:jc w:val="both"/>
              <w:rPr>
                <w:color w:val="222222"/>
                <w:sz w:val="20"/>
                <w:szCs w:val="20"/>
              </w:rPr>
            </w:pPr>
            <w:r>
              <w:rPr>
                <w:color w:val="222222"/>
                <w:sz w:val="20"/>
                <w:szCs w:val="20"/>
              </w:rPr>
              <w:t>• Muestreo por conveniencia en dos regiones chilenas</w:t>
            </w:r>
          </w:p>
          <w:p w14:paraId="17391D9F" w14:textId="77777777" w:rsidR="00020AE8" w:rsidRDefault="00000000">
            <w:pPr>
              <w:spacing w:after="40" w:line="223" w:lineRule="auto"/>
              <w:jc w:val="both"/>
              <w:rPr>
                <w:color w:val="222222"/>
                <w:sz w:val="20"/>
                <w:szCs w:val="20"/>
              </w:rPr>
            </w:pPr>
            <w:r>
              <w:rPr>
                <w:color w:val="222222"/>
                <w:sz w:val="20"/>
                <w:szCs w:val="20"/>
              </w:rPr>
              <w:t>• Sin tasa de respuesta ni manejo de datos faltantes</w:t>
            </w:r>
          </w:p>
          <w:p w14:paraId="0532241A" w14:textId="77777777" w:rsidR="00020AE8" w:rsidRDefault="00000000">
            <w:pPr>
              <w:spacing w:line="223" w:lineRule="auto"/>
              <w:jc w:val="both"/>
              <w:rPr>
                <w:color w:val="222222"/>
                <w:sz w:val="20"/>
                <w:szCs w:val="20"/>
              </w:rPr>
            </w:pPr>
            <w:r>
              <w:rPr>
                <w:color w:val="222222"/>
                <w:sz w:val="20"/>
                <w:szCs w:val="20"/>
              </w:rPr>
              <w:t>• Sin ajuste por covariables sociodemográficas</w:t>
            </w:r>
          </w:p>
        </w:tc>
      </w:tr>
      <w:tr w:rsidR="00020AE8" w14:paraId="229AE06F" w14:textId="77777777">
        <w:trPr>
          <w:trHeight w:val="1080"/>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8F96B17" w14:textId="77777777" w:rsidR="00020AE8" w:rsidRDefault="00000000">
            <w:pPr>
              <w:spacing w:line="223" w:lineRule="auto"/>
              <w:jc w:val="both"/>
              <w:rPr>
                <w:color w:val="222222"/>
                <w:sz w:val="20"/>
                <w:szCs w:val="20"/>
              </w:rPr>
            </w:pPr>
            <w:r>
              <w:rPr>
                <w:color w:val="222222"/>
                <w:sz w:val="20"/>
                <w:szCs w:val="20"/>
              </w:rPr>
              <w:t>Cano-Lozano, Rodríguez-Díaz, León y Contreras (2020)</w:t>
            </w:r>
          </w:p>
        </w:tc>
        <w:tc>
          <w:tcPr>
            <w:tcW w:w="1020" w:type="dxa"/>
            <w:tcBorders>
              <w:bottom w:val="single" w:sz="8" w:space="0" w:color="FFFFFF"/>
              <w:right w:val="single" w:sz="8" w:space="0" w:color="FFFFFF"/>
            </w:tcBorders>
            <w:tcMar>
              <w:top w:w="80" w:type="dxa"/>
              <w:left w:w="100" w:type="dxa"/>
              <w:bottom w:w="80" w:type="dxa"/>
              <w:right w:w="100" w:type="dxa"/>
            </w:tcMar>
          </w:tcPr>
          <w:p w14:paraId="738E3708"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31E21A67" w14:textId="77777777" w:rsidR="00020AE8" w:rsidRDefault="00000000">
            <w:pPr>
              <w:spacing w:line="223" w:lineRule="auto"/>
              <w:jc w:val="both"/>
              <w:rPr>
                <w:color w:val="222222"/>
                <w:sz w:val="20"/>
                <w:szCs w:val="20"/>
              </w:rPr>
            </w:pPr>
            <w:r>
              <w:rPr>
                <w:color w:val="222222"/>
                <w:sz w:val="20"/>
                <w:szCs w:val="20"/>
              </w:rPr>
              <w:t>5/10</w:t>
            </w:r>
          </w:p>
        </w:tc>
        <w:tc>
          <w:tcPr>
            <w:tcW w:w="1005" w:type="dxa"/>
            <w:tcBorders>
              <w:bottom w:val="single" w:sz="8" w:space="0" w:color="FFFFFF"/>
              <w:right w:val="single" w:sz="8" w:space="0" w:color="FFFFFF"/>
            </w:tcBorders>
            <w:tcMar>
              <w:top w:w="80" w:type="dxa"/>
              <w:left w:w="100" w:type="dxa"/>
              <w:bottom w:w="80" w:type="dxa"/>
              <w:right w:w="100" w:type="dxa"/>
            </w:tcMar>
          </w:tcPr>
          <w:p w14:paraId="4A1BBBDB"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2502A39E" w14:textId="77777777" w:rsidR="00020AE8" w:rsidRDefault="00000000">
            <w:pPr>
              <w:spacing w:after="40" w:line="223" w:lineRule="auto"/>
              <w:jc w:val="both"/>
              <w:rPr>
                <w:color w:val="222222"/>
                <w:sz w:val="20"/>
                <w:szCs w:val="20"/>
              </w:rPr>
            </w:pPr>
            <w:r>
              <w:rPr>
                <w:color w:val="222222"/>
                <w:sz w:val="20"/>
                <w:szCs w:val="20"/>
              </w:rPr>
              <w:t>• Sin ajuste por confusores sociodemográficos (0/2 en comparabilidad)</w:t>
            </w:r>
          </w:p>
          <w:p w14:paraId="714B9CD1" w14:textId="77777777" w:rsidR="00020AE8" w:rsidRDefault="00000000">
            <w:pPr>
              <w:spacing w:after="40" w:line="223" w:lineRule="auto"/>
              <w:jc w:val="both"/>
              <w:rPr>
                <w:color w:val="222222"/>
                <w:sz w:val="20"/>
                <w:szCs w:val="20"/>
              </w:rPr>
            </w:pPr>
            <w:r>
              <w:rPr>
                <w:color w:val="222222"/>
                <w:sz w:val="20"/>
                <w:szCs w:val="20"/>
              </w:rPr>
              <w:t>• Autoinforme único (percepción parental, ira y conducta)</w:t>
            </w:r>
          </w:p>
          <w:p w14:paraId="7CCBF582" w14:textId="77777777" w:rsidR="00020AE8" w:rsidRDefault="00000000">
            <w:pPr>
              <w:spacing w:after="40" w:line="223" w:lineRule="auto"/>
              <w:jc w:val="both"/>
              <w:rPr>
                <w:color w:val="222222"/>
                <w:sz w:val="20"/>
                <w:szCs w:val="20"/>
              </w:rPr>
            </w:pPr>
            <w:r>
              <w:rPr>
                <w:color w:val="222222"/>
                <w:sz w:val="20"/>
                <w:szCs w:val="20"/>
              </w:rPr>
              <w:t>• Muestra circunscrita a dos provincias españolas</w:t>
            </w:r>
          </w:p>
          <w:p w14:paraId="37967889" w14:textId="77777777" w:rsidR="00020AE8" w:rsidRDefault="00000000">
            <w:pPr>
              <w:spacing w:line="223" w:lineRule="auto"/>
              <w:jc w:val="both"/>
              <w:rPr>
                <w:color w:val="222222"/>
                <w:sz w:val="20"/>
                <w:szCs w:val="20"/>
              </w:rPr>
            </w:pPr>
            <w:r>
              <w:rPr>
                <w:color w:val="222222"/>
                <w:sz w:val="20"/>
                <w:szCs w:val="20"/>
              </w:rPr>
              <w:t>• Sin tasa de respuesta reportada</w:t>
            </w:r>
          </w:p>
        </w:tc>
      </w:tr>
      <w:tr w:rsidR="00020AE8" w14:paraId="207CE001"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2AA0D2CD" w14:textId="77777777" w:rsidR="00020AE8" w:rsidRDefault="00000000">
            <w:pPr>
              <w:spacing w:line="223" w:lineRule="auto"/>
              <w:jc w:val="both"/>
              <w:rPr>
                <w:color w:val="222222"/>
                <w:sz w:val="20"/>
                <w:szCs w:val="20"/>
              </w:rPr>
            </w:pPr>
            <w:r>
              <w:rPr>
                <w:color w:val="222222"/>
                <w:sz w:val="20"/>
                <w:szCs w:val="20"/>
              </w:rPr>
              <w:t>Sasaki et al. (2021)</w:t>
            </w:r>
          </w:p>
        </w:tc>
        <w:tc>
          <w:tcPr>
            <w:tcW w:w="1020" w:type="dxa"/>
            <w:tcBorders>
              <w:bottom w:val="single" w:sz="8" w:space="0" w:color="FFFFFF"/>
              <w:right w:val="single" w:sz="8" w:space="0" w:color="FFFFFF"/>
            </w:tcBorders>
            <w:tcMar>
              <w:top w:w="80" w:type="dxa"/>
              <w:left w:w="100" w:type="dxa"/>
              <w:bottom w:w="80" w:type="dxa"/>
              <w:right w:w="100" w:type="dxa"/>
            </w:tcMar>
          </w:tcPr>
          <w:p w14:paraId="76C3B918" w14:textId="77777777" w:rsidR="00020AE8" w:rsidRDefault="00000000">
            <w:pPr>
              <w:spacing w:line="223" w:lineRule="auto"/>
              <w:jc w:val="both"/>
              <w:rPr>
                <w:color w:val="222222"/>
                <w:sz w:val="20"/>
                <w:szCs w:val="20"/>
              </w:rPr>
            </w:pPr>
            <w:r>
              <w:rPr>
                <w:color w:val="222222"/>
                <w:sz w:val="20"/>
                <w:szCs w:val="20"/>
              </w:rPr>
              <w:t>NOS — casos y controles</w:t>
            </w:r>
          </w:p>
        </w:tc>
        <w:tc>
          <w:tcPr>
            <w:tcW w:w="795" w:type="dxa"/>
            <w:tcBorders>
              <w:bottom w:val="single" w:sz="8" w:space="0" w:color="FFFFFF"/>
              <w:right w:val="single" w:sz="8" w:space="0" w:color="FFFFFF"/>
            </w:tcBorders>
            <w:tcMar>
              <w:top w:w="80" w:type="dxa"/>
              <w:left w:w="100" w:type="dxa"/>
              <w:bottom w:w="80" w:type="dxa"/>
              <w:right w:w="100" w:type="dxa"/>
            </w:tcMar>
          </w:tcPr>
          <w:p w14:paraId="4DA0B784" w14:textId="77777777" w:rsidR="00020AE8" w:rsidRDefault="00000000">
            <w:pPr>
              <w:spacing w:line="223" w:lineRule="auto"/>
              <w:jc w:val="both"/>
              <w:rPr>
                <w:color w:val="222222"/>
                <w:sz w:val="20"/>
                <w:szCs w:val="20"/>
              </w:rPr>
            </w:pPr>
            <w:r>
              <w:rPr>
                <w:color w:val="222222"/>
                <w:sz w:val="20"/>
                <w:szCs w:val="20"/>
              </w:rPr>
              <w:t>7/9</w:t>
            </w:r>
          </w:p>
        </w:tc>
        <w:tc>
          <w:tcPr>
            <w:tcW w:w="1005" w:type="dxa"/>
            <w:tcBorders>
              <w:bottom w:val="single" w:sz="8" w:space="0" w:color="FFFFFF"/>
              <w:right w:val="single" w:sz="8" w:space="0" w:color="FFFFFF"/>
            </w:tcBorders>
            <w:tcMar>
              <w:top w:w="80" w:type="dxa"/>
              <w:left w:w="100" w:type="dxa"/>
              <w:bottom w:w="80" w:type="dxa"/>
              <w:right w:w="100" w:type="dxa"/>
            </w:tcMar>
          </w:tcPr>
          <w:p w14:paraId="29AD2F14"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73F3C9DC" w14:textId="77777777" w:rsidR="00020AE8" w:rsidRDefault="00000000">
            <w:pPr>
              <w:spacing w:after="40" w:line="223" w:lineRule="auto"/>
              <w:jc w:val="both"/>
              <w:rPr>
                <w:color w:val="222222"/>
                <w:sz w:val="20"/>
                <w:szCs w:val="20"/>
              </w:rPr>
            </w:pPr>
            <w:r>
              <w:rPr>
                <w:color w:val="222222"/>
                <w:sz w:val="20"/>
                <w:szCs w:val="20"/>
              </w:rPr>
              <w:t>• VFP sin definición operativa (juicio clínico; sesgo de ascertainment)</w:t>
            </w:r>
          </w:p>
          <w:p w14:paraId="6A93F495" w14:textId="77777777" w:rsidR="00020AE8" w:rsidRDefault="00000000">
            <w:pPr>
              <w:spacing w:after="40" w:line="223" w:lineRule="auto"/>
              <w:jc w:val="both"/>
              <w:rPr>
                <w:color w:val="222222"/>
                <w:sz w:val="20"/>
                <w:szCs w:val="20"/>
              </w:rPr>
            </w:pPr>
            <w:r>
              <w:rPr>
                <w:color w:val="222222"/>
                <w:sz w:val="20"/>
                <w:szCs w:val="20"/>
              </w:rPr>
              <w:t>• Exclusión de 243 pacientes por datos incompletos, sin comparación</w:t>
            </w:r>
          </w:p>
          <w:p w14:paraId="491AD51D" w14:textId="77777777" w:rsidR="00020AE8" w:rsidRDefault="00000000">
            <w:pPr>
              <w:spacing w:after="40" w:line="223" w:lineRule="auto"/>
              <w:jc w:val="both"/>
              <w:rPr>
                <w:color w:val="222222"/>
                <w:sz w:val="20"/>
                <w:szCs w:val="20"/>
              </w:rPr>
            </w:pPr>
            <w:r>
              <w:rPr>
                <w:color w:val="222222"/>
                <w:sz w:val="20"/>
                <w:szCs w:val="20"/>
              </w:rPr>
              <w:t>• Muestra reducida (n = 109) de un único distrito</w:t>
            </w:r>
          </w:p>
          <w:p w14:paraId="256EA356" w14:textId="77777777" w:rsidR="00020AE8" w:rsidRDefault="00000000">
            <w:pPr>
              <w:spacing w:line="223" w:lineRule="auto"/>
              <w:jc w:val="both"/>
              <w:rPr>
                <w:color w:val="222222"/>
                <w:sz w:val="20"/>
                <w:szCs w:val="20"/>
              </w:rPr>
            </w:pPr>
            <w:r>
              <w:rPr>
                <w:color w:val="222222"/>
                <w:sz w:val="20"/>
                <w:szCs w:val="20"/>
              </w:rPr>
              <w:t>• Sin desglose por sexo</w:t>
            </w:r>
          </w:p>
        </w:tc>
      </w:tr>
      <w:tr w:rsidR="00020AE8" w14:paraId="05E829EF" w14:textId="77777777">
        <w:trPr>
          <w:trHeight w:val="1080"/>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1AA3DF5" w14:textId="77777777" w:rsidR="00020AE8" w:rsidRDefault="00000000">
            <w:pPr>
              <w:spacing w:line="223" w:lineRule="auto"/>
              <w:jc w:val="both"/>
              <w:rPr>
                <w:color w:val="222222"/>
                <w:sz w:val="20"/>
                <w:szCs w:val="20"/>
              </w:rPr>
            </w:pPr>
            <w:r>
              <w:rPr>
                <w:color w:val="222222"/>
                <w:sz w:val="20"/>
                <w:szCs w:val="20"/>
              </w:rPr>
              <w:t>Chou, Hsiao, Wang y Yen (2025)</w:t>
            </w:r>
          </w:p>
        </w:tc>
        <w:tc>
          <w:tcPr>
            <w:tcW w:w="1020" w:type="dxa"/>
            <w:tcBorders>
              <w:bottom w:val="single" w:sz="8" w:space="0" w:color="FFFFFF"/>
              <w:right w:val="single" w:sz="8" w:space="0" w:color="FFFFFF"/>
            </w:tcBorders>
            <w:tcMar>
              <w:top w:w="80" w:type="dxa"/>
              <w:left w:w="100" w:type="dxa"/>
              <w:bottom w:w="80" w:type="dxa"/>
              <w:right w:w="100" w:type="dxa"/>
            </w:tcMar>
          </w:tcPr>
          <w:p w14:paraId="2B17D7AA"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4CB971BE" w14:textId="77777777" w:rsidR="00020AE8" w:rsidRDefault="00000000">
            <w:pPr>
              <w:spacing w:line="223" w:lineRule="auto"/>
              <w:jc w:val="both"/>
              <w:rPr>
                <w:color w:val="222222"/>
                <w:sz w:val="20"/>
                <w:szCs w:val="20"/>
              </w:rPr>
            </w:pPr>
            <w:r>
              <w:rPr>
                <w:color w:val="222222"/>
                <w:sz w:val="20"/>
                <w:szCs w:val="20"/>
              </w:rPr>
              <w:t>6/10</w:t>
            </w:r>
          </w:p>
        </w:tc>
        <w:tc>
          <w:tcPr>
            <w:tcW w:w="1005" w:type="dxa"/>
            <w:tcBorders>
              <w:bottom w:val="single" w:sz="8" w:space="0" w:color="FFFFFF"/>
              <w:right w:val="single" w:sz="8" w:space="0" w:color="FFFFFF"/>
            </w:tcBorders>
            <w:tcMar>
              <w:top w:w="80" w:type="dxa"/>
              <w:left w:w="100" w:type="dxa"/>
              <w:bottom w:w="80" w:type="dxa"/>
              <w:right w:w="100" w:type="dxa"/>
            </w:tcMar>
          </w:tcPr>
          <w:p w14:paraId="014D6FD4"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12C7B76A" w14:textId="77777777" w:rsidR="00020AE8" w:rsidRDefault="00000000">
            <w:pPr>
              <w:spacing w:after="40" w:line="223" w:lineRule="auto"/>
              <w:jc w:val="both"/>
              <w:rPr>
                <w:color w:val="222222"/>
                <w:sz w:val="20"/>
                <w:szCs w:val="20"/>
              </w:rPr>
            </w:pPr>
            <w:r>
              <w:rPr>
                <w:color w:val="222222"/>
                <w:sz w:val="20"/>
                <w:szCs w:val="20"/>
              </w:rPr>
              <w:t>• Muestra clínica altamente seleccionada (TDAH en tratamiento)</w:t>
            </w:r>
          </w:p>
          <w:p w14:paraId="12D4151C" w14:textId="77777777" w:rsidR="00020AE8" w:rsidRDefault="00000000">
            <w:pPr>
              <w:spacing w:after="40" w:line="223" w:lineRule="auto"/>
              <w:jc w:val="both"/>
              <w:rPr>
                <w:color w:val="222222"/>
                <w:sz w:val="20"/>
                <w:szCs w:val="20"/>
              </w:rPr>
            </w:pPr>
            <w:r>
              <w:rPr>
                <w:color w:val="222222"/>
                <w:sz w:val="20"/>
                <w:szCs w:val="20"/>
              </w:rPr>
              <w:t>• Sin justificación del tamaño muestral</w:t>
            </w:r>
          </w:p>
          <w:p w14:paraId="6D3A899B" w14:textId="77777777" w:rsidR="00020AE8" w:rsidRDefault="00000000">
            <w:pPr>
              <w:spacing w:after="40" w:line="223" w:lineRule="auto"/>
              <w:jc w:val="both"/>
              <w:rPr>
                <w:color w:val="222222"/>
                <w:sz w:val="20"/>
                <w:szCs w:val="20"/>
              </w:rPr>
            </w:pPr>
            <w:r>
              <w:rPr>
                <w:color w:val="222222"/>
                <w:sz w:val="20"/>
                <w:szCs w:val="20"/>
              </w:rPr>
              <w:t>• Sin control del nivel socioeconómico ni de la medicación</w:t>
            </w:r>
          </w:p>
          <w:p w14:paraId="79BDEADD" w14:textId="77777777" w:rsidR="00020AE8" w:rsidRDefault="00000000">
            <w:pPr>
              <w:spacing w:line="223" w:lineRule="auto"/>
              <w:jc w:val="both"/>
              <w:rPr>
                <w:color w:val="222222"/>
                <w:sz w:val="20"/>
                <w:szCs w:val="20"/>
              </w:rPr>
            </w:pPr>
            <w:r>
              <w:rPr>
                <w:color w:val="222222"/>
                <w:sz w:val="20"/>
                <w:szCs w:val="20"/>
              </w:rPr>
              <w:t>• Riesgo de sobreajuste por número de predictores</w:t>
            </w:r>
          </w:p>
        </w:tc>
      </w:tr>
      <w:tr w:rsidR="00020AE8" w14:paraId="47ACA226"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369D5CDD" w14:textId="77777777" w:rsidR="00020AE8" w:rsidRDefault="00000000">
            <w:pPr>
              <w:spacing w:line="223" w:lineRule="auto"/>
              <w:jc w:val="both"/>
              <w:rPr>
                <w:color w:val="222222"/>
                <w:sz w:val="20"/>
                <w:szCs w:val="20"/>
              </w:rPr>
            </w:pPr>
            <w:r>
              <w:rPr>
                <w:color w:val="222222"/>
                <w:sz w:val="20"/>
                <w:szCs w:val="20"/>
              </w:rPr>
              <w:lastRenderedPageBreak/>
              <w:t>Papamichail y Bates (2022)</w:t>
            </w:r>
          </w:p>
        </w:tc>
        <w:tc>
          <w:tcPr>
            <w:tcW w:w="1020" w:type="dxa"/>
            <w:tcBorders>
              <w:bottom w:val="single" w:sz="8" w:space="0" w:color="FFFFFF"/>
              <w:right w:val="single" w:sz="8" w:space="0" w:color="FFFFFF"/>
            </w:tcBorders>
            <w:tcMar>
              <w:top w:w="80" w:type="dxa"/>
              <w:left w:w="100" w:type="dxa"/>
              <w:bottom w:w="80" w:type="dxa"/>
              <w:right w:w="100" w:type="dxa"/>
            </w:tcMar>
          </w:tcPr>
          <w:p w14:paraId="4E00561D" w14:textId="77777777" w:rsidR="00020AE8" w:rsidRDefault="00000000">
            <w:pPr>
              <w:spacing w:line="223" w:lineRule="auto"/>
              <w:jc w:val="both"/>
              <w:rPr>
                <w:color w:val="222222"/>
                <w:sz w:val="20"/>
                <w:szCs w:val="20"/>
              </w:rPr>
            </w:pPr>
            <w:r>
              <w:rPr>
                <w:color w:val="222222"/>
                <w:sz w:val="20"/>
                <w:szCs w:val="20"/>
              </w:rPr>
              <w:t>CASP (cualitativo)</w:t>
            </w:r>
          </w:p>
        </w:tc>
        <w:tc>
          <w:tcPr>
            <w:tcW w:w="795" w:type="dxa"/>
            <w:tcBorders>
              <w:bottom w:val="single" w:sz="8" w:space="0" w:color="FFFFFF"/>
              <w:right w:val="single" w:sz="8" w:space="0" w:color="FFFFFF"/>
            </w:tcBorders>
            <w:tcMar>
              <w:top w:w="80" w:type="dxa"/>
              <w:left w:w="100" w:type="dxa"/>
              <w:bottom w:w="80" w:type="dxa"/>
              <w:right w:w="100" w:type="dxa"/>
            </w:tcMar>
          </w:tcPr>
          <w:p w14:paraId="7DF4697A" w14:textId="77777777" w:rsidR="00020AE8" w:rsidRDefault="00000000">
            <w:pPr>
              <w:spacing w:line="223" w:lineRule="auto"/>
              <w:jc w:val="both"/>
              <w:rPr>
                <w:color w:val="222222"/>
                <w:sz w:val="20"/>
                <w:szCs w:val="20"/>
              </w:rPr>
            </w:pPr>
            <w:sdt>
              <w:sdtPr>
                <w:tag w:val="goog_rdk_1"/>
                <w:id w:val="-1274793002"/>
              </w:sdtPr>
              <w:sdtContent>
                <w:r>
                  <w:rPr>
                    <w:rFonts w:ascii="Gungsuh" w:eastAsia="Gungsuh" w:hAnsi="Gungsuh" w:cs="Gungsuh"/>
                    <w:color w:val="222222"/>
                    <w:sz w:val="20"/>
                    <w:szCs w:val="20"/>
                  </w:rPr>
                  <w:t>≈5/10 (CASP)</w:t>
                </w:r>
              </w:sdtContent>
            </w:sdt>
          </w:p>
        </w:tc>
        <w:tc>
          <w:tcPr>
            <w:tcW w:w="1005" w:type="dxa"/>
            <w:tcBorders>
              <w:bottom w:val="single" w:sz="8" w:space="0" w:color="FFFFFF"/>
              <w:right w:val="single" w:sz="8" w:space="0" w:color="FFFFFF"/>
            </w:tcBorders>
            <w:tcMar>
              <w:top w:w="80" w:type="dxa"/>
              <w:left w:w="100" w:type="dxa"/>
              <w:bottom w:w="80" w:type="dxa"/>
              <w:right w:w="100" w:type="dxa"/>
            </w:tcMar>
          </w:tcPr>
          <w:p w14:paraId="247F7072"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48099A75" w14:textId="77777777" w:rsidR="00020AE8" w:rsidRDefault="00000000">
            <w:pPr>
              <w:spacing w:after="40" w:line="223" w:lineRule="auto"/>
              <w:jc w:val="both"/>
              <w:rPr>
                <w:color w:val="222222"/>
                <w:sz w:val="20"/>
                <w:szCs w:val="20"/>
              </w:rPr>
            </w:pPr>
            <w:r>
              <w:rPr>
                <w:color w:val="222222"/>
                <w:sz w:val="20"/>
                <w:szCs w:val="20"/>
              </w:rPr>
              <w:t>• Muestra muy pequeña y autoseleccionada (n = 8), solo en contexto de intervención</w:t>
            </w:r>
          </w:p>
          <w:p w14:paraId="33775A90" w14:textId="77777777" w:rsidR="00020AE8" w:rsidRDefault="00000000">
            <w:pPr>
              <w:spacing w:after="40" w:line="223" w:lineRule="auto"/>
              <w:jc w:val="both"/>
              <w:rPr>
                <w:color w:val="222222"/>
                <w:sz w:val="20"/>
                <w:szCs w:val="20"/>
              </w:rPr>
            </w:pPr>
            <w:r>
              <w:rPr>
                <w:color w:val="222222"/>
                <w:sz w:val="20"/>
                <w:szCs w:val="20"/>
              </w:rPr>
              <w:t>• Datos heterogéneos (parte manuscrita, sin repreguntar)</w:t>
            </w:r>
          </w:p>
          <w:p w14:paraId="04DA1AE9" w14:textId="77777777" w:rsidR="00020AE8" w:rsidRDefault="00000000">
            <w:pPr>
              <w:spacing w:after="40" w:line="223" w:lineRule="auto"/>
              <w:jc w:val="both"/>
              <w:rPr>
                <w:color w:val="222222"/>
                <w:sz w:val="20"/>
                <w:szCs w:val="20"/>
              </w:rPr>
            </w:pPr>
            <w:r>
              <w:rPr>
                <w:color w:val="222222"/>
                <w:sz w:val="20"/>
                <w:szCs w:val="20"/>
              </w:rPr>
              <w:t>• Ausencia de reflexividad del investigador</w:t>
            </w:r>
          </w:p>
          <w:p w14:paraId="3E4712E5" w14:textId="77777777" w:rsidR="00020AE8" w:rsidRDefault="00000000">
            <w:pPr>
              <w:spacing w:line="223" w:lineRule="auto"/>
              <w:jc w:val="both"/>
              <w:rPr>
                <w:color w:val="222222"/>
                <w:sz w:val="20"/>
                <w:szCs w:val="20"/>
              </w:rPr>
            </w:pPr>
            <w:r>
              <w:rPr>
                <w:color w:val="222222"/>
                <w:sz w:val="20"/>
                <w:szCs w:val="20"/>
              </w:rPr>
              <w:t>• Codificación a cargo de una única autora, sin triangulación</w:t>
            </w:r>
          </w:p>
        </w:tc>
      </w:tr>
      <w:tr w:rsidR="00020AE8" w14:paraId="3DD27114" w14:textId="77777777">
        <w:trPr>
          <w:trHeight w:val="1080"/>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4D5662B" w14:textId="77777777" w:rsidR="00020AE8" w:rsidRDefault="00000000">
            <w:pPr>
              <w:spacing w:line="223" w:lineRule="auto"/>
              <w:jc w:val="both"/>
              <w:rPr>
                <w:color w:val="222222"/>
                <w:sz w:val="20"/>
                <w:szCs w:val="20"/>
              </w:rPr>
            </w:pPr>
            <w:r>
              <w:rPr>
                <w:color w:val="222222"/>
                <w:sz w:val="20"/>
                <w:szCs w:val="20"/>
              </w:rPr>
              <w:t>Sasaki et al. (2025)</w:t>
            </w:r>
          </w:p>
        </w:tc>
        <w:tc>
          <w:tcPr>
            <w:tcW w:w="1020" w:type="dxa"/>
            <w:tcBorders>
              <w:bottom w:val="single" w:sz="8" w:space="0" w:color="FFFFFF"/>
              <w:right w:val="single" w:sz="8" w:space="0" w:color="FFFFFF"/>
            </w:tcBorders>
            <w:tcMar>
              <w:top w:w="80" w:type="dxa"/>
              <w:left w:w="100" w:type="dxa"/>
              <w:bottom w:w="80" w:type="dxa"/>
              <w:right w:w="100" w:type="dxa"/>
            </w:tcMar>
          </w:tcPr>
          <w:p w14:paraId="49BD5BB5" w14:textId="77777777" w:rsidR="00020AE8" w:rsidRDefault="00000000">
            <w:pPr>
              <w:spacing w:line="223" w:lineRule="auto"/>
              <w:jc w:val="both"/>
              <w:rPr>
                <w:color w:val="222222"/>
                <w:sz w:val="20"/>
                <w:szCs w:val="20"/>
              </w:rPr>
            </w:pPr>
            <w:r>
              <w:rPr>
                <w:color w:val="222222"/>
                <w:sz w:val="20"/>
                <w:szCs w:val="20"/>
              </w:rPr>
              <w:t>NOS — casos y controles</w:t>
            </w:r>
          </w:p>
        </w:tc>
        <w:tc>
          <w:tcPr>
            <w:tcW w:w="795" w:type="dxa"/>
            <w:tcBorders>
              <w:bottom w:val="single" w:sz="8" w:space="0" w:color="FFFFFF"/>
              <w:right w:val="single" w:sz="8" w:space="0" w:color="FFFFFF"/>
            </w:tcBorders>
            <w:tcMar>
              <w:top w:w="80" w:type="dxa"/>
              <w:left w:w="100" w:type="dxa"/>
              <w:bottom w:w="80" w:type="dxa"/>
              <w:right w:w="100" w:type="dxa"/>
            </w:tcMar>
          </w:tcPr>
          <w:p w14:paraId="007411AA" w14:textId="77777777" w:rsidR="00020AE8" w:rsidRDefault="00000000">
            <w:pPr>
              <w:spacing w:line="223" w:lineRule="auto"/>
              <w:jc w:val="both"/>
              <w:rPr>
                <w:color w:val="222222"/>
                <w:sz w:val="20"/>
                <w:szCs w:val="20"/>
              </w:rPr>
            </w:pPr>
            <w:r>
              <w:rPr>
                <w:color w:val="222222"/>
                <w:sz w:val="20"/>
                <w:szCs w:val="20"/>
              </w:rPr>
              <w:t>7/9</w:t>
            </w:r>
          </w:p>
        </w:tc>
        <w:tc>
          <w:tcPr>
            <w:tcW w:w="1005" w:type="dxa"/>
            <w:tcBorders>
              <w:bottom w:val="single" w:sz="8" w:space="0" w:color="FFFFFF"/>
              <w:right w:val="single" w:sz="8" w:space="0" w:color="FFFFFF"/>
            </w:tcBorders>
            <w:tcMar>
              <w:top w:w="80" w:type="dxa"/>
              <w:left w:w="100" w:type="dxa"/>
              <w:bottom w:w="80" w:type="dxa"/>
              <w:right w:w="100" w:type="dxa"/>
            </w:tcMar>
          </w:tcPr>
          <w:p w14:paraId="7FD6513D"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5BF790FD" w14:textId="77777777" w:rsidR="00020AE8" w:rsidRDefault="00000000">
            <w:pPr>
              <w:spacing w:after="40" w:line="223" w:lineRule="auto"/>
              <w:jc w:val="both"/>
              <w:rPr>
                <w:color w:val="222222"/>
                <w:sz w:val="20"/>
                <w:szCs w:val="20"/>
              </w:rPr>
            </w:pPr>
            <w:r>
              <w:rPr>
                <w:color w:val="222222"/>
                <w:sz w:val="20"/>
                <w:szCs w:val="20"/>
              </w:rPr>
              <w:t>• Baja tasa de cumplimentación del cuestionario (40%)</w:t>
            </w:r>
          </w:p>
          <w:p w14:paraId="43821AA5" w14:textId="77777777" w:rsidR="00020AE8" w:rsidRDefault="00000000">
            <w:pPr>
              <w:spacing w:after="40" w:line="223" w:lineRule="auto"/>
              <w:jc w:val="both"/>
              <w:rPr>
                <w:color w:val="222222"/>
                <w:sz w:val="20"/>
                <w:szCs w:val="20"/>
              </w:rPr>
            </w:pPr>
            <w:r>
              <w:rPr>
                <w:color w:val="222222"/>
                <w:sz w:val="20"/>
                <w:szCs w:val="20"/>
              </w:rPr>
              <w:t>• Celdas pequeñas (45 casos; 18 en violencia reportada)</w:t>
            </w:r>
          </w:p>
          <w:p w14:paraId="7144F285" w14:textId="77777777" w:rsidR="00020AE8" w:rsidRDefault="00000000">
            <w:pPr>
              <w:spacing w:after="40" w:line="223" w:lineRule="auto"/>
              <w:jc w:val="both"/>
              <w:rPr>
                <w:color w:val="222222"/>
                <w:sz w:val="20"/>
                <w:szCs w:val="20"/>
              </w:rPr>
            </w:pPr>
            <w:r>
              <w:rPr>
                <w:color w:val="222222"/>
                <w:sz w:val="20"/>
                <w:szCs w:val="20"/>
              </w:rPr>
              <w:t>• Posible subregistro en la categoría de VFP “no detectada”</w:t>
            </w:r>
          </w:p>
          <w:p w14:paraId="7D18DC90" w14:textId="77777777" w:rsidR="00020AE8" w:rsidRDefault="00000000">
            <w:pPr>
              <w:spacing w:line="223" w:lineRule="auto"/>
              <w:jc w:val="both"/>
              <w:rPr>
                <w:color w:val="222222"/>
                <w:sz w:val="20"/>
                <w:szCs w:val="20"/>
              </w:rPr>
            </w:pPr>
            <w:r>
              <w:rPr>
                <w:color w:val="222222"/>
                <w:sz w:val="20"/>
                <w:szCs w:val="20"/>
              </w:rPr>
              <w:t>• Muestra de un único distrito, no representativa</w:t>
            </w:r>
          </w:p>
        </w:tc>
      </w:tr>
      <w:tr w:rsidR="00020AE8" w14:paraId="5747D704" w14:textId="77777777">
        <w:trPr>
          <w:trHeight w:val="1080"/>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D48F457" w14:textId="77777777" w:rsidR="00020AE8" w:rsidRDefault="00000000">
            <w:pPr>
              <w:spacing w:line="223" w:lineRule="auto"/>
              <w:jc w:val="both"/>
              <w:rPr>
                <w:color w:val="222222"/>
                <w:sz w:val="20"/>
                <w:szCs w:val="20"/>
              </w:rPr>
            </w:pPr>
            <w:r>
              <w:rPr>
                <w:color w:val="222222"/>
                <w:sz w:val="20"/>
                <w:szCs w:val="20"/>
              </w:rPr>
              <w:t>Bechtiger et al. (2026)</w:t>
            </w:r>
          </w:p>
        </w:tc>
        <w:tc>
          <w:tcPr>
            <w:tcW w:w="1020" w:type="dxa"/>
            <w:tcBorders>
              <w:bottom w:val="single" w:sz="8" w:space="0" w:color="FFFFFF"/>
              <w:right w:val="single" w:sz="8" w:space="0" w:color="FFFFFF"/>
            </w:tcBorders>
            <w:tcMar>
              <w:top w:w="80" w:type="dxa"/>
              <w:left w:w="100" w:type="dxa"/>
              <w:bottom w:w="80" w:type="dxa"/>
              <w:right w:w="100" w:type="dxa"/>
            </w:tcMar>
          </w:tcPr>
          <w:p w14:paraId="02D292EA" w14:textId="77777777" w:rsidR="00020AE8" w:rsidRDefault="00000000">
            <w:pPr>
              <w:spacing w:line="223" w:lineRule="auto"/>
              <w:jc w:val="both"/>
              <w:rPr>
                <w:color w:val="222222"/>
                <w:sz w:val="20"/>
                <w:szCs w:val="20"/>
              </w:rPr>
            </w:pPr>
            <w:r>
              <w:rPr>
                <w:color w:val="222222"/>
                <w:sz w:val="20"/>
                <w:szCs w:val="20"/>
              </w:rPr>
              <w:t>NOS — cohorte</w:t>
            </w:r>
          </w:p>
        </w:tc>
        <w:tc>
          <w:tcPr>
            <w:tcW w:w="795" w:type="dxa"/>
            <w:tcBorders>
              <w:bottom w:val="single" w:sz="8" w:space="0" w:color="FFFFFF"/>
              <w:right w:val="single" w:sz="8" w:space="0" w:color="FFFFFF"/>
            </w:tcBorders>
            <w:tcMar>
              <w:top w:w="80" w:type="dxa"/>
              <w:left w:w="100" w:type="dxa"/>
              <w:bottom w:w="80" w:type="dxa"/>
              <w:right w:w="100" w:type="dxa"/>
            </w:tcMar>
          </w:tcPr>
          <w:p w14:paraId="635ABE4C" w14:textId="77777777" w:rsidR="00020AE8" w:rsidRDefault="00000000">
            <w:pPr>
              <w:spacing w:line="223" w:lineRule="auto"/>
              <w:jc w:val="both"/>
              <w:rPr>
                <w:color w:val="222222"/>
                <w:sz w:val="20"/>
                <w:szCs w:val="20"/>
              </w:rPr>
            </w:pPr>
            <w:r>
              <w:rPr>
                <w:color w:val="222222"/>
                <w:sz w:val="20"/>
                <w:szCs w:val="20"/>
              </w:rPr>
              <w:t>8/9</w:t>
            </w:r>
          </w:p>
        </w:tc>
        <w:tc>
          <w:tcPr>
            <w:tcW w:w="1005" w:type="dxa"/>
            <w:tcBorders>
              <w:bottom w:val="single" w:sz="8" w:space="0" w:color="FFFFFF"/>
              <w:right w:val="single" w:sz="8" w:space="0" w:color="FFFFFF"/>
            </w:tcBorders>
            <w:tcMar>
              <w:top w:w="80" w:type="dxa"/>
              <w:left w:w="100" w:type="dxa"/>
              <w:bottom w:w="80" w:type="dxa"/>
              <w:right w:w="100" w:type="dxa"/>
            </w:tcMar>
          </w:tcPr>
          <w:p w14:paraId="2B4358A8" w14:textId="77777777" w:rsidR="00020AE8" w:rsidRDefault="00000000">
            <w:pPr>
              <w:spacing w:line="223" w:lineRule="auto"/>
              <w:jc w:val="both"/>
              <w:rPr>
                <w:color w:val="222222"/>
                <w:sz w:val="20"/>
                <w:szCs w:val="20"/>
              </w:rPr>
            </w:pPr>
            <w:r>
              <w:rPr>
                <w:color w:val="222222"/>
                <w:sz w:val="20"/>
                <w:szCs w:val="20"/>
              </w:rPr>
              <w:t>Bajo</w:t>
            </w:r>
          </w:p>
        </w:tc>
        <w:tc>
          <w:tcPr>
            <w:tcW w:w="5385" w:type="dxa"/>
            <w:tcBorders>
              <w:bottom w:val="single" w:sz="8" w:space="0" w:color="FFFFFF"/>
              <w:right w:val="single" w:sz="8" w:space="0" w:color="FFFFFF"/>
            </w:tcBorders>
            <w:tcMar>
              <w:top w:w="80" w:type="dxa"/>
              <w:left w:w="100" w:type="dxa"/>
              <w:bottom w:w="80" w:type="dxa"/>
              <w:right w:w="100" w:type="dxa"/>
            </w:tcMar>
          </w:tcPr>
          <w:p w14:paraId="51ACF6DA" w14:textId="77777777" w:rsidR="00020AE8" w:rsidRDefault="00000000">
            <w:pPr>
              <w:spacing w:after="40" w:line="223" w:lineRule="auto"/>
              <w:jc w:val="both"/>
              <w:rPr>
                <w:color w:val="222222"/>
                <w:sz w:val="20"/>
                <w:szCs w:val="20"/>
              </w:rPr>
            </w:pPr>
            <w:r>
              <w:rPr>
                <w:color w:val="222222"/>
                <w:sz w:val="20"/>
                <w:szCs w:val="20"/>
              </w:rPr>
              <w:t>• Outcome (PYPA) medido con solo dos ítems autoinformados</w:t>
            </w:r>
          </w:p>
          <w:p w14:paraId="7386F085" w14:textId="77777777" w:rsidR="00020AE8" w:rsidRDefault="00000000">
            <w:pPr>
              <w:spacing w:after="40" w:line="223" w:lineRule="auto"/>
              <w:jc w:val="both"/>
              <w:rPr>
                <w:color w:val="222222"/>
                <w:sz w:val="20"/>
                <w:szCs w:val="20"/>
              </w:rPr>
            </w:pPr>
            <w:r>
              <w:rPr>
                <w:color w:val="222222"/>
                <w:sz w:val="20"/>
                <w:szCs w:val="20"/>
              </w:rPr>
              <w:t>• Factores de riesgo medidos en un único punto temporal</w:t>
            </w:r>
          </w:p>
          <w:p w14:paraId="1AC60AAA" w14:textId="77777777" w:rsidR="00020AE8" w:rsidRDefault="00000000">
            <w:pPr>
              <w:spacing w:after="40" w:line="223" w:lineRule="auto"/>
              <w:jc w:val="both"/>
              <w:rPr>
                <w:color w:val="222222"/>
                <w:sz w:val="20"/>
                <w:szCs w:val="20"/>
              </w:rPr>
            </w:pPr>
            <w:r>
              <w:rPr>
                <w:color w:val="222222"/>
                <w:sz w:val="20"/>
                <w:szCs w:val="20"/>
              </w:rPr>
              <w:t>• Sin datos de PYPA previos a los 11 años</w:t>
            </w:r>
          </w:p>
          <w:p w14:paraId="3A93E869" w14:textId="77777777" w:rsidR="00020AE8" w:rsidRDefault="00000000">
            <w:pPr>
              <w:spacing w:line="223" w:lineRule="auto"/>
              <w:jc w:val="both"/>
              <w:rPr>
                <w:color w:val="222222"/>
                <w:sz w:val="20"/>
                <w:szCs w:val="20"/>
              </w:rPr>
            </w:pPr>
            <w:r>
              <w:rPr>
                <w:color w:val="222222"/>
                <w:sz w:val="20"/>
                <w:szCs w:val="20"/>
              </w:rPr>
              <w:t>• Muestra suiza urbana (generalización limitada)</w:t>
            </w:r>
          </w:p>
        </w:tc>
      </w:tr>
      <w:tr w:rsidR="00020AE8" w14:paraId="17702CCC"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A108A3E" w14:textId="77777777" w:rsidR="00020AE8" w:rsidRDefault="00000000">
            <w:pPr>
              <w:spacing w:line="223" w:lineRule="auto"/>
              <w:jc w:val="both"/>
              <w:rPr>
                <w:color w:val="222222"/>
                <w:sz w:val="20"/>
                <w:szCs w:val="20"/>
              </w:rPr>
            </w:pPr>
            <w:r>
              <w:rPr>
                <w:color w:val="222222"/>
                <w:sz w:val="20"/>
                <w:szCs w:val="20"/>
              </w:rPr>
              <w:t>Jiménez-Granado, del Hoyo-Bilbao y Fernández-González (2023)</w:t>
            </w:r>
          </w:p>
        </w:tc>
        <w:tc>
          <w:tcPr>
            <w:tcW w:w="1020" w:type="dxa"/>
            <w:tcBorders>
              <w:bottom w:val="single" w:sz="8" w:space="0" w:color="FFFFFF"/>
              <w:right w:val="single" w:sz="8" w:space="0" w:color="FFFFFF"/>
            </w:tcBorders>
            <w:tcMar>
              <w:top w:w="80" w:type="dxa"/>
              <w:left w:w="100" w:type="dxa"/>
              <w:bottom w:w="80" w:type="dxa"/>
              <w:right w:w="100" w:type="dxa"/>
            </w:tcMar>
          </w:tcPr>
          <w:p w14:paraId="67946BE6" w14:textId="77777777" w:rsidR="00020AE8" w:rsidRDefault="00000000">
            <w:pPr>
              <w:spacing w:line="223" w:lineRule="auto"/>
              <w:jc w:val="both"/>
              <w:rPr>
                <w:color w:val="222222"/>
                <w:sz w:val="20"/>
                <w:szCs w:val="20"/>
              </w:rPr>
            </w:pPr>
            <w:r>
              <w:rPr>
                <w:color w:val="222222"/>
                <w:sz w:val="20"/>
                <w:szCs w:val="20"/>
              </w:rPr>
              <w:t>NOS — cohorte</w:t>
            </w:r>
          </w:p>
        </w:tc>
        <w:tc>
          <w:tcPr>
            <w:tcW w:w="795" w:type="dxa"/>
            <w:tcBorders>
              <w:bottom w:val="single" w:sz="8" w:space="0" w:color="FFFFFF"/>
              <w:right w:val="single" w:sz="8" w:space="0" w:color="FFFFFF"/>
            </w:tcBorders>
            <w:tcMar>
              <w:top w:w="80" w:type="dxa"/>
              <w:left w:w="100" w:type="dxa"/>
              <w:bottom w:w="80" w:type="dxa"/>
              <w:right w:w="100" w:type="dxa"/>
            </w:tcMar>
          </w:tcPr>
          <w:p w14:paraId="43FC4EAA" w14:textId="77777777" w:rsidR="00020AE8" w:rsidRDefault="00000000">
            <w:pPr>
              <w:spacing w:line="223" w:lineRule="auto"/>
              <w:jc w:val="both"/>
              <w:rPr>
                <w:color w:val="222222"/>
                <w:sz w:val="20"/>
                <w:szCs w:val="20"/>
              </w:rPr>
            </w:pPr>
            <w:r>
              <w:rPr>
                <w:color w:val="222222"/>
                <w:sz w:val="20"/>
                <w:szCs w:val="20"/>
              </w:rPr>
              <w:t>5/9</w:t>
            </w:r>
          </w:p>
        </w:tc>
        <w:tc>
          <w:tcPr>
            <w:tcW w:w="1005" w:type="dxa"/>
            <w:tcBorders>
              <w:bottom w:val="single" w:sz="8" w:space="0" w:color="FFFFFF"/>
              <w:right w:val="single" w:sz="8" w:space="0" w:color="FFFFFF"/>
            </w:tcBorders>
            <w:tcMar>
              <w:top w:w="80" w:type="dxa"/>
              <w:left w:w="100" w:type="dxa"/>
              <w:bottom w:w="80" w:type="dxa"/>
              <w:right w:w="100" w:type="dxa"/>
            </w:tcMar>
          </w:tcPr>
          <w:p w14:paraId="4162B01E"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020B3902" w14:textId="77777777" w:rsidR="00020AE8" w:rsidRDefault="00000000">
            <w:pPr>
              <w:spacing w:after="40" w:line="223" w:lineRule="auto"/>
              <w:jc w:val="both"/>
              <w:rPr>
                <w:color w:val="222222"/>
                <w:sz w:val="20"/>
                <w:szCs w:val="20"/>
              </w:rPr>
            </w:pPr>
            <w:r>
              <w:rPr>
                <w:color w:val="222222"/>
                <w:sz w:val="20"/>
                <w:szCs w:val="20"/>
              </w:rPr>
              <w:t>• Seguimiento muy corto (6 meses), inferior al pico evolutivo de la VFP</w:t>
            </w:r>
          </w:p>
          <w:p w14:paraId="0396A77F" w14:textId="77777777" w:rsidR="00020AE8" w:rsidRDefault="00000000">
            <w:pPr>
              <w:spacing w:after="40" w:line="223" w:lineRule="auto"/>
              <w:jc w:val="both"/>
              <w:rPr>
                <w:color w:val="222222"/>
                <w:sz w:val="20"/>
                <w:szCs w:val="20"/>
              </w:rPr>
            </w:pPr>
            <w:r>
              <w:rPr>
                <w:color w:val="222222"/>
                <w:sz w:val="20"/>
                <w:szCs w:val="20"/>
              </w:rPr>
              <w:t>• Outcome autoinformado sin validación externa</w:t>
            </w:r>
          </w:p>
          <w:p w14:paraId="45A4553B" w14:textId="77777777" w:rsidR="00020AE8" w:rsidRDefault="00000000">
            <w:pPr>
              <w:spacing w:after="40" w:line="223" w:lineRule="auto"/>
              <w:jc w:val="both"/>
              <w:rPr>
                <w:color w:val="222222"/>
                <w:sz w:val="20"/>
                <w:szCs w:val="20"/>
              </w:rPr>
            </w:pPr>
            <w:r>
              <w:rPr>
                <w:color w:val="222222"/>
                <w:sz w:val="20"/>
                <w:szCs w:val="20"/>
              </w:rPr>
              <w:t>• Disciplina parental medida retrospectivamente (sesgo de memoria)</w:t>
            </w:r>
          </w:p>
          <w:p w14:paraId="4C669BB4" w14:textId="77777777" w:rsidR="00020AE8" w:rsidRDefault="00000000">
            <w:pPr>
              <w:spacing w:line="223" w:lineRule="auto"/>
              <w:jc w:val="both"/>
              <w:rPr>
                <w:color w:val="222222"/>
                <w:sz w:val="20"/>
                <w:szCs w:val="20"/>
              </w:rPr>
            </w:pPr>
            <w:r>
              <w:rPr>
                <w:color w:val="222222"/>
                <w:sz w:val="20"/>
                <w:szCs w:val="20"/>
              </w:rPr>
              <w:t>• Baja consistencia interna en una subescala (α = .58)</w:t>
            </w:r>
          </w:p>
        </w:tc>
      </w:tr>
      <w:tr w:rsidR="00020AE8" w14:paraId="0470F56D" w14:textId="77777777">
        <w:trPr>
          <w:trHeight w:val="990"/>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57350DF" w14:textId="77777777" w:rsidR="00020AE8" w:rsidRDefault="00000000">
            <w:pPr>
              <w:spacing w:line="223" w:lineRule="auto"/>
              <w:jc w:val="both"/>
              <w:rPr>
                <w:color w:val="222222"/>
                <w:sz w:val="20"/>
                <w:szCs w:val="20"/>
              </w:rPr>
            </w:pPr>
            <w:r>
              <w:rPr>
                <w:color w:val="222222"/>
                <w:sz w:val="20"/>
                <w:szCs w:val="20"/>
              </w:rPr>
              <w:t>Cano-Lozano, Contreras, Navas-Martínez, León y Rodríguez-Díaz (2023)</w:t>
            </w:r>
          </w:p>
        </w:tc>
        <w:tc>
          <w:tcPr>
            <w:tcW w:w="1020" w:type="dxa"/>
            <w:tcBorders>
              <w:bottom w:val="single" w:sz="8" w:space="0" w:color="FFFFFF"/>
              <w:right w:val="single" w:sz="8" w:space="0" w:color="FFFFFF"/>
            </w:tcBorders>
            <w:tcMar>
              <w:top w:w="80" w:type="dxa"/>
              <w:left w:w="100" w:type="dxa"/>
              <w:bottom w:w="80" w:type="dxa"/>
              <w:right w:w="100" w:type="dxa"/>
            </w:tcMar>
          </w:tcPr>
          <w:p w14:paraId="73F24EC7"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31C52B58" w14:textId="77777777" w:rsidR="00020AE8" w:rsidRDefault="00000000">
            <w:pPr>
              <w:spacing w:line="223" w:lineRule="auto"/>
              <w:jc w:val="both"/>
              <w:rPr>
                <w:color w:val="222222"/>
                <w:sz w:val="20"/>
                <w:szCs w:val="20"/>
              </w:rPr>
            </w:pPr>
            <w:r>
              <w:rPr>
                <w:color w:val="222222"/>
                <w:sz w:val="20"/>
                <w:szCs w:val="20"/>
              </w:rPr>
              <w:t>6/10</w:t>
            </w:r>
          </w:p>
        </w:tc>
        <w:tc>
          <w:tcPr>
            <w:tcW w:w="1005" w:type="dxa"/>
            <w:tcBorders>
              <w:bottom w:val="single" w:sz="8" w:space="0" w:color="FFFFFF"/>
              <w:right w:val="single" w:sz="8" w:space="0" w:color="FFFFFF"/>
            </w:tcBorders>
            <w:tcMar>
              <w:top w:w="80" w:type="dxa"/>
              <w:left w:w="100" w:type="dxa"/>
              <w:bottom w:w="80" w:type="dxa"/>
              <w:right w:w="100" w:type="dxa"/>
            </w:tcMar>
          </w:tcPr>
          <w:p w14:paraId="741C9CF7"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08BEB34F" w14:textId="77777777" w:rsidR="00020AE8" w:rsidRDefault="00000000">
            <w:pPr>
              <w:spacing w:after="40" w:line="223" w:lineRule="auto"/>
              <w:jc w:val="both"/>
              <w:rPr>
                <w:color w:val="222222"/>
                <w:sz w:val="20"/>
                <w:szCs w:val="20"/>
              </w:rPr>
            </w:pPr>
            <w:r>
              <w:rPr>
                <w:color w:val="222222"/>
                <w:sz w:val="20"/>
                <w:szCs w:val="20"/>
              </w:rPr>
              <w:t>• Diseño transversal, sin inferencia causal</w:t>
            </w:r>
          </w:p>
          <w:p w14:paraId="16F18FAE" w14:textId="77777777" w:rsidR="00020AE8" w:rsidRDefault="00000000">
            <w:pPr>
              <w:spacing w:after="40" w:line="223" w:lineRule="auto"/>
              <w:jc w:val="both"/>
              <w:rPr>
                <w:color w:val="222222"/>
                <w:sz w:val="20"/>
                <w:szCs w:val="20"/>
              </w:rPr>
            </w:pPr>
            <w:r>
              <w:rPr>
                <w:color w:val="222222"/>
                <w:sz w:val="20"/>
                <w:szCs w:val="20"/>
              </w:rPr>
              <w:t>• Subgrupo de generalistas reducido</w:t>
            </w:r>
          </w:p>
          <w:p w14:paraId="4C21BF9B" w14:textId="77777777" w:rsidR="00020AE8" w:rsidRDefault="00000000">
            <w:pPr>
              <w:spacing w:after="40" w:line="223" w:lineRule="auto"/>
              <w:jc w:val="both"/>
              <w:rPr>
                <w:color w:val="222222"/>
                <w:sz w:val="20"/>
                <w:szCs w:val="20"/>
              </w:rPr>
            </w:pPr>
            <w:r>
              <w:rPr>
                <w:color w:val="222222"/>
                <w:sz w:val="20"/>
                <w:szCs w:val="20"/>
              </w:rPr>
              <w:t>• Outcome autoinformado sin validación externa</w:t>
            </w:r>
          </w:p>
          <w:p w14:paraId="45C07C64" w14:textId="77777777" w:rsidR="00020AE8" w:rsidRDefault="00000000">
            <w:pPr>
              <w:spacing w:line="223" w:lineRule="auto"/>
              <w:jc w:val="both"/>
              <w:rPr>
                <w:color w:val="222222"/>
                <w:sz w:val="20"/>
                <w:szCs w:val="20"/>
              </w:rPr>
            </w:pPr>
            <w:r>
              <w:rPr>
                <w:color w:val="222222"/>
                <w:sz w:val="20"/>
                <w:szCs w:val="20"/>
              </w:rPr>
              <w:t>• Comparación de subtipos sin ajuste por edad</w:t>
            </w:r>
          </w:p>
        </w:tc>
      </w:tr>
      <w:tr w:rsidR="00020AE8" w14:paraId="08D75525"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C841C0E" w14:textId="77777777" w:rsidR="00020AE8" w:rsidRDefault="00000000">
            <w:pPr>
              <w:spacing w:line="223" w:lineRule="auto"/>
              <w:jc w:val="both"/>
              <w:rPr>
                <w:color w:val="222222"/>
                <w:sz w:val="20"/>
                <w:szCs w:val="20"/>
              </w:rPr>
            </w:pPr>
            <w:r>
              <w:rPr>
                <w:color w:val="222222"/>
                <w:sz w:val="20"/>
                <w:szCs w:val="20"/>
              </w:rPr>
              <w:t>Cortina y Martín (2020)</w:t>
            </w:r>
          </w:p>
        </w:tc>
        <w:tc>
          <w:tcPr>
            <w:tcW w:w="1020" w:type="dxa"/>
            <w:tcBorders>
              <w:bottom w:val="single" w:sz="8" w:space="0" w:color="FFFFFF"/>
              <w:right w:val="single" w:sz="8" w:space="0" w:color="FFFFFF"/>
            </w:tcBorders>
            <w:tcMar>
              <w:top w:w="80" w:type="dxa"/>
              <w:left w:w="100" w:type="dxa"/>
              <w:bottom w:w="80" w:type="dxa"/>
              <w:right w:w="100" w:type="dxa"/>
            </w:tcMar>
          </w:tcPr>
          <w:p w14:paraId="73352D88"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5A20C2B3" w14:textId="77777777" w:rsidR="00020AE8" w:rsidRDefault="00000000">
            <w:pPr>
              <w:spacing w:line="223" w:lineRule="auto"/>
              <w:jc w:val="both"/>
              <w:rPr>
                <w:color w:val="222222"/>
                <w:sz w:val="20"/>
                <w:szCs w:val="20"/>
              </w:rPr>
            </w:pPr>
            <w:r>
              <w:rPr>
                <w:color w:val="222222"/>
                <w:sz w:val="20"/>
                <w:szCs w:val="20"/>
              </w:rPr>
              <w:t>5/10</w:t>
            </w:r>
          </w:p>
        </w:tc>
        <w:tc>
          <w:tcPr>
            <w:tcW w:w="1005" w:type="dxa"/>
            <w:tcBorders>
              <w:bottom w:val="single" w:sz="8" w:space="0" w:color="FFFFFF"/>
              <w:right w:val="single" w:sz="8" w:space="0" w:color="FFFFFF"/>
            </w:tcBorders>
            <w:tcMar>
              <w:top w:w="80" w:type="dxa"/>
              <w:left w:w="100" w:type="dxa"/>
              <w:bottom w:w="80" w:type="dxa"/>
              <w:right w:w="100" w:type="dxa"/>
            </w:tcMar>
          </w:tcPr>
          <w:p w14:paraId="35DA3674"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0F67C96C" w14:textId="77777777" w:rsidR="00020AE8" w:rsidRDefault="00000000">
            <w:pPr>
              <w:spacing w:after="40" w:line="223" w:lineRule="auto"/>
              <w:jc w:val="both"/>
              <w:rPr>
                <w:color w:val="222222"/>
                <w:sz w:val="20"/>
                <w:szCs w:val="20"/>
              </w:rPr>
            </w:pPr>
            <w:r>
              <w:rPr>
                <w:color w:val="222222"/>
                <w:sz w:val="20"/>
                <w:szCs w:val="20"/>
              </w:rPr>
              <w:t>• Muestra de conveniencia no representativa (zona turística específica)</w:t>
            </w:r>
          </w:p>
          <w:p w14:paraId="1BA70070" w14:textId="77777777" w:rsidR="00020AE8" w:rsidRDefault="00000000">
            <w:pPr>
              <w:spacing w:after="40" w:line="223" w:lineRule="auto"/>
              <w:jc w:val="both"/>
              <w:rPr>
                <w:color w:val="222222"/>
                <w:sz w:val="20"/>
                <w:szCs w:val="20"/>
              </w:rPr>
            </w:pPr>
            <w:r>
              <w:rPr>
                <w:color w:val="222222"/>
                <w:sz w:val="20"/>
                <w:szCs w:val="20"/>
              </w:rPr>
              <w:t>• Grupos pequeños para conductas severas poco frecuentes (pegar, n = 8)</w:t>
            </w:r>
          </w:p>
          <w:p w14:paraId="70C8981C" w14:textId="77777777" w:rsidR="00020AE8" w:rsidRDefault="00000000">
            <w:pPr>
              <w:spacing w:after="40" w:line="223" w:lineRule="auto"/>
              <w:jc w:val="both"/>
              <w:rPr>
                <w:color w:val="222222"/>
                <w:sz w:val="20"/>
                <w:szCs w:val="20"/>
              </w:rPr>
            </w:pPr>
            <w:r>
              <w:rPr>
                <w:color w:val="222222"/>
                <w:sz w:val="20"/>
                <w:szCs w:val="20"/>
              </w:rPr>
              <w:t>• Outcome y predictores exclusivamente autoinformados</w:t>
            </w:r>
          </w:p>
          <w:p w14:paraId="5A8058B1" w14:textId="77777777" w:rsidR="00020AE8" w:rsidRDefault="00000000">
            <w:pPr>
              <w:spacing w:line="223" w:lineRule="auto"/>
              <w:jc w:val="both"/>
              <w:rPr>
                <w:color w:val="222222"/>
                <w:sz w:val="20"/>
                <w:szCs w:val="20"/>
              </w:rPr>
            </w:pPr>
            <w:r>
              <w:rPr>
                <w:color w:val="222222"/>
                <w:sz w:val="20"/>
                <w:szCs w:val="20"/>
              </w:rPr>
              <w:t>• Baja consistencia interna en dos subescalas</w:t>
            </w:r>
          </w:p>
        </w:tc>
      </w:tr>
      <w:tr w:rsidR="00020AE8" w14:paraId="5A47058F" w14:textId="77777777">
        <w:trPr>
          <w:trHeight w:val="160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47EA33EC" w14:textId="77777777" w:rsidR="00020AE8" w:rsidRDefault="00000000">
            <w:pPr>
              <w:spacing w:line="223" w:lineRule="auto"/>
              <w:jc w:val="both"/>
              <w:rPr>
                <w:color w:val="222222"/>
                <w:sz w:val="20"/>
                <w:szCs w:val="20"/>
              </w:rPr>
            </w:pPr>
            <w:r>
              <w:rPr>
                <w:color w:val="222222"/>
                <w:sz w:val="20"/>
                <w:szCs w:val="20"/>
              </w:rPr>
              <w:t>Loinaz, Barboni y Ma-de-Sousa (2020)</w:t>
            </w:r>
          </w:p>
        </w:tc>
        <w:tc>
          <w:tcPr>
            <w:tcW w:w="1020" w:type="dxa"/>
            <w:tcBorders>
              <w:bottom w:val="single" w:sz="8" w:space="0" w:color="FFFFFF"/>
              <w:right w:val="single" w:sz="8" w:space="0" w:color="FFFFFF"/>
            </w:tcBorders>
            <w:tcMar>
              <w:top w:w="80" w:type="dxa"/>
              <w:left w:w="100" w:type="dxa"/>
              <w:bottom w:w="80" w:type="dxa"/>
              <w:right w:w="100" w:type="dxa"/>
            </w:tcMar>
          </w:tcPr>
          <w:p w14:paraId="7ED6C982"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10FD8C32" w14:textId="77777777" w:rsidR="00020AE8" w:rsidRDefault="00000000">
            <w:pPr>
              <w:spacing w:line="223" w:lineRule="auto"/>
              <w:jc w:val="both"/>
              <w:rPr>
                <w:color w:val="222222"/>
                <w:sz w:val="20"/>
                <w:szCs w:val="20"/>
              </w:rPr>
            </w:pPr>
            <w:r>
              <w:rPr>
                <w:color w:val="222222"/>
                <w:sz w:val="20"/>
                <w:szCs w:val="20"/>
              </w:rPr>
              <w:t>3/10</w:t>
            </w:r>
          </w:p>
        </w:tc>
        <w:tc>
          <w:tcPr>
            <w:tcW w:w="1005" w:type="dxa"/>
            <w:tcBorders>
              <w:bottom w:val="single" w:sz="8" w:space="0" w:color="FFFFFF"/>
              <w:right w:val="single" w:sz="8" w:space="0" w:color="FFFFFF"/>
            </w:tcBorders>
            <w:tcMar>
              <w:top w:w="80" w:type="dxa"/>
              <w:left w:w="100" w:type="dxa"/>
              <w:bottom w:w="80" w:type="dxa"/>
              <w:right w:w="100" w:type="dxa"/>
            </w:tcMar>
          </w:tcPr>
          <w:p w14:paraId="69F81954" w14:textId="77777777" w:rsidR="00020AE8" w:rsidRDefault="00000000">
            <w:pPr>
              <w:spacing w:line="223" w:lineRule="auto"/>
              <w:jc w:val="both"/>
              <w:rPr>
                <w:color w:val="222222"/>
                <w:sz w:val="20"/>
                <w:szCs w:val="20"/>
              </w:rPr>
            </w:pPr>
            <w:r>
              <w:rPr>
                <w:color w:val="222222"/>
                <w:sz w:val="20"/>
                <w:szCs w:val="20"/>
              </w:rPr>
              <w:t>Alto</w:t>
            </w:r>
          </w:p>
        </w:tc>
        <w:tc>
          <w:tcPr>
            <w:tcW w:w="5385" w:type="dxa"/>
            <w:tcBorders>
              <w:bottom w:val="single" w:sz="8" w:space="0" w:color="FFFFFF"/>
              <w:right w:val="single" w:sz="8" w:space="0" w:color="FFFFFF"/>
            </w:tcBorders>
            <w:tcMar>
              <w:top w:w="80" w:type="dxa"/>
              <w:left w:w="100" w:type="dxa"/>
              <w:bottom w:w="80" w:type="dxa"/>
              <w:right w:w="100" w:type="dxa"/>
            </w:tcMar>
          </w:tcPr>
          <w:p w14:paraId="6DF08A13" w14:textId="77777777" w:rsidR="00020AE8" w:rsidRDefault="00000000">
            <w:pPr>
              <w:spacing w:after="40" w:line="223" w:lineRule="auto"/>
              <w:jc w:val="both"/>
              <w:rPr>
                <w:color w:val="222222"/>
                <w:sz w:val="20"/>
                <w:szCs w:val="20"/>
              </w:rPr>
            </w:pPr>
            <w:r>
              <w:rPr>
                <w:color w:val="222222"/>
                <w:sz w:val="20"/>
                <w:szCs w:val="20"/>
              </w:rPr>
              <w:t>• Muestra pequeña y no representativa (N = 91)</w:t>
            </w:r>
          </w:p>
          <w:p w14:paraId="3FEDDD95" w14:textId="77777777" w:rsidR="00020AE8" w:rsidRDefault="00000000">
            <w:pPr>
              <w:spacing w:after="40" w:line="223" w:lineRule="auto"/>
              <w:jc w:val="both"/>
              <w:rPr>
                <w:color w:val="222222"/>
                <w:sz w:val="20"/>
                <w:szCs w:val="20"/>
              </w:rPr>
            </w:pPr>
            <w:r>
              <w:rPr>
                <w:color w:val="222222"/>
                <w:sz w:val="20"/>
                <w:szCs w:val="20"/>
              </w:rPr>
              <w:t>• Sesgo de selección por sexo no controlado (chicas más de contexto judicial)</w:t>
            </w:r>
          </w:p>
          <w:p w14:paraId="235A7F83" w14:textId="77777777" w:rsidR="00020AE8" w:rsidRDefault="00000000">
            <w:pPr>
              <w:spacing w:after="40" w:line="223" w:lineRule="auto"/>
              <w:jc w:val="both"/>
              <w:rPr>
                <w:color w:val="222222"/>
                <w:sz w:val="20"/>
                <w:szCs w:val="20"/>
              </w:rPr>
            </w:pPr>
            <w:r>
              <w:rPr>
                <w:color w:val="222222"/>
                <w:sz w:val="20"/>
                <w:szCs w:val="20"/>
              </w:rPr>
              <w:t>• Codificación de fuentes secundarias de completitud variable</w:t>
            </w:r>
          </w:p>
          <w:p w14:paraId="61DA8B05" w14:textId="77777777" w:rsidR="00020AE8" w:rsidRDefault="00000000">
            <w:pPr>
              <w:spacing w:after="40" w:line="223" w:lineRule="auto"/>
              <w:jc w:val="both"/>
              <w:rPr>
                <w:color w:val="222222"/>
                <w:sz w:val="20"/>
                <w:szCs w:val="20"/>
              </w:rPr>
            </w:pPr>
            <w:r>
              <w:rPr>
                <w:color w:val="222222"/>
                <w:sz w:val="20"/>
                <w:szCs w:val="20"/>
              </w:rPr>
              <w:t>• Solo análisis bivariados, sin ajuste por confusores</w:t>
            </w:r>
          </w:p>
          <w:p w14:paraId="18143522" w14:textId="77777777" w:rsidR="00020AE8" w:rsidRDefault="00000000">
            <w:pPr>
              <w:spacing w:line="223" w:lineRule="auto"/>
              <w:jc w:val="both"/>
              <w:rPr>
                <w:color w:val="222222"/>
                <w:sz w:val="20"/>
                <w:szCs w:val="20"/>
              </w:rPr>
            </w:pPr>
            <w:r>
              <w:rPr>
                <w:color w:val="222222"/>
                <w:sz w:val="20"/>
                <w:szCs w:val="20"/>
              </w:rPr>
              <w:t>• Muestra solapada con Loinaz y de Sousa (2020): tratar como dependientes</w:t>
            </w:r>
          </w:p>
        </w:tc>
      </w:tr>
      <w:tr w:rsidR="00020AE8" w14:paraId="3C40FE14"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1AD1F3B" w14:textId="77777777" w:rsidR="00020AE8" w:rsidRDefault="00000000">
            <w:pPr>
              <w:spacing w:line="223" w:lineRule="auto"/>
              <w:jc w:val="both"/>
              <w:rPr>
                <w:color w:val="222222"/>
                <w:sz w:val="20"/>
                <w:szCs w:val="20"/>
              </w:rPr>
            </w:pPr>
            <w:r>
              <w:rPr>
                <w:color w:val="222222"/>
                <w:sz w:val="20"/>
                <w:szCs w:val="20"/>
              </w:rPr>
              <w:t>Loinaz y de Sousa (2020)</w:t>
            </w:r>
          </w:p>
        </w:tc>
        <w:tc>
          <w:tcPr>
            <w:tcW w:w="1020" w:type="dxa"/>
            <w:tcBorders>
              <w:bottom w:val="single" w:sz="8" w:space="0" w:color="FFFFFF"/>
              <w:right w:val="single" w:sz="8" w:space="0" w:color="FFFFFF"/>
            </w:tcBorders>
            <w:tcMar>
              <w:top w:w="80" w:type="dxa"/>
              <w:left w:w="100" w:type="dxa"/>
              <w:bottom w:w="80" w:type="dxa"/>
              <w:right w:w="100" w:type="dxa"/>
            </w:tcMar>
          </w:tcPr>
          <w:p w14:paraId="199403EF"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5E67B812" w14:textId="77777777" w:rsidR="00020AE8" w:rsidRDefault="00000000">
            <w:pPr>
              <w:spacing w:line="223" w:lineRule="auto"/>
              <w:jc w:val="both"/>
              <w:rPr>
                <w:color w:val="222222"/>
                <w:sz w:val="20"/>
                <w:szCs w:val="20"/>
              </w:rPr>
            </w:pPr>
            <w:r>
              <w:rPr>
                <w:color w:val="222222"/>
                <w:sz w:val="20"/>
                <w:szCs w:val="20"/>
              </w:rPr>
              <w:t>6/10</w:t>
            </w:r>
          </w:p>
        </w:tc>
        <w:tc>
          <w:tcPr>
            <w:tcW w:w="1005" w:type="dxa"/>
            <w:tcBorders>
              <w:bottom w:val="single" w:sz="8" w:space="0" w:color="FFFFFF"/>
              <w:right w:val="single" w:sz="8" w:space="0" w:color="FFFFFF"/>
            </w:tcBorders>
            <w:tcMar>
              <w:top w:w="80" w:type="dxa"/>
              <w:left w:w="100" w:type="dxa"/>
              <w:bottom w:w="80" w:type="dxa"/>
              <w:right w:w="100" w:type="dxa"/>
            </w:tcMar>
          </w:tcPr>
          <w:p w14:paraId="4C0D78FC"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3BE72B59" w14:textId="77777777" w:rsidR="00020AE8" w:rsidRDefault="00000000">
            <w:pPr>
              <w:spacing w:after="40" w:line="223" w:lineRule="auto"/>
              <w:jc w:val="both"/>
              <w:rPr>
                <w:color w:val="222222"/>
                <w:sz w:val="20"/>
                <w:szCs w:val="20"/>
              </w:rPr>
            </w:pPr>
            <w:sdt>
              <w:sdtPr>
                <w:tag w:val="goog_rdk_2"/>
                <w:id w:val="1886890161"/>
              </w:sdtPr>
              <w:sdtContent>
                <w:r>
                  <w:rPr>
                    <w:rFonts w:ascii="Gungsuh" w:eastAsia="Gungsuh" w:hAnsi="Gungsuh" w:cs="Gungsuh"/>
                    <w:color w:val="222222"/>
                    <w:sz w:val="20"/>
                    <w:szCs w:val="20"/>
                  </w:rPr>
                  <w:t>• Muestra solapada con Loinaz et al. (2020) (mismo n ≈ 91): riesgo de doble conteo</w:t>
                </w:r>
              </w:sdtContent>
            </w:sdt>
          </w:p>
          <w:p w14:paraId="2E76B9F8" w14:textId="77777777" w:rsidR="00020AE8" w:rsidRDefault="00000000">
            <w:pPr>
              <w:spacing w:after="40" w:line="223" w:lineRule="auto"/>
              <w:jc w:val="both"/>
              <w:rPr>
                <w:color w:val="222222"/>
                <w:sz w:val="20"/>
                <w:szCs w:val="20"/>
              </w:rPr>
            </w:pPr>
            <w:r>
              <w:rPr>
                <w:color w:val="222222"/>
                <w:sz w:val="20"/>
                <w:szCs w:val="20"/>
              </w:rPr>
              <w:t>• Sin grupo control de no agresores</w:t>
            </w:r>
          </w:p>
          <w:p w14:paraId="1BC92142" w14:textId="77777777" w:rsidR="00020AE8" w:rsidRDefault="00000000">
            <w:pPr>
              <w:spacing w:after="40" w:line="223" w:lineRule="auto"/>
              <w:jc w:val="both"/>
              <w:rPr>
                <w:color w:val="222222"/>
                <w:sz w:val="20"/>
                <w:szCs w:val="20"/>
              </w:rPr>
            </w:pPr>
            <w:r>
              <w:rPr>
                <w:color w:val="222222"/>
                <w:sz w:val="20"/>
                <w:szCs w:val="20"/>
              </w:rPr>
              <w:t>• Diferencias basales de sexo y edad no ajustadas en los bivariados</w:t>
            </w:r>
          </w:p>
          <w:p w14:paraId="0E0DA35E" w14:textId="77777777" w:rsidR="00020AE8" w:rsidRDefault="00000000">
            <w:pPr>
              <w:spacing w:line="223" w:lineRule="auto"/>
              <w:jc w:val="both"/>
              <w:rPr>
                <w:color w:val="222222"/>
                <w:sz w:val="20"/>
                <w:szCs w:val="20"/>
              </w:rPr>
            </w:pPr>
            <w:r>
              <w:rPr>
                <w:color w:val="222222"/>
                <w:sz w:val="20"/>
                <w:szCs w:val="20"/>
              </w:rPr>
              <w:t>• Codificación categórica, sin puntuaciones dimensionales</w:t>
            </w:r>
          </w:p>
        </w:tc>
      </w:tr>
      <w:tr w:rsidR="00020AE8" w14:paraId="0DE97AA4"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24601032" w14:textId="77777777" w:rsidR="00020AE8" w:rsidRDefault="00000000">
            <w:pPr>
              <w:spacing w:line="223" w:lineRule="auto"/>
              <w:jc w:val="both"/>
              <w:rPr>
                <w:color w:val="222222"/>
                <w:sz w:val="20"/>
                <w:szCs w:val="20"/>
              </w:rPr>
            </w:pPr>
            <w:r>
              <w:rPr>
                <w:color w:val="222222"/>
                <w:sz w:val="20"/>
                <w:szCs w:val="20"/>
              </w:rPr>
              <w:t>Del Hoyo-Bilbao, Orue, Gámez-Guadix y Calvete (2020)</w:t>
            </w:r>
          </w:p>
        </w:tc>
        <w:tc>
          <w:tcPr>
            <w:tcW w:w="1020" w:type="dxa"/>
            <w:tcBorders>
              <w:bottom w:val="single" w:sz="8" w:space="0" w:color="FFFFFF"/>
              <w:right w:val="single" w:sz="8" w:space="0" w:color="FFFFFF"/>
            </w:tcBorders>
            <w:tcMar>
              <w:top w:w="80" w:type="dxa"/>
              <w:left w:w="100" w:type="dxa"/>
              <w:bottom w:w="80" w:type="dxa"/>
              <w:right w:w="100" w:type="dxa"/>
            </w:tcMar>
          </w:tcPr>
          <w:p w14:paraId="145A1A38"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5FAC97D4" w14:textId="77777777" w:rsidR="00020AE8" w:rsidRDefault="00000000">
            <w:pPr>
              <w:spacing w:line="223" w:lineRule="auto"/>
              <w:jc w:val="both"/>
              <w:rPr>
                <w:color w:val="222222"/>
                <w:sz w:val="20"/>
                <w:szCs w:val="20"/>
              </w:rPr>
            </w:pPr>
            <w:r>
              <w:rPr>
                <w:color w:val="222222"/>
                <w:sz w:val="20"/>
                <w:szCs w:val="20"/>
              </w:rPr>
              <w:t>8/10</w:t>
            </w:r>
          </w:p>
        </w:tc>
        <w:tc>
          <w:tcPr>
            <w:tcW w:w="1005" w:type="dxa"/>
            <w:tcBorders>
              <w:bottom w:val="single" w:sz="8" w:space="0" w:color="FFFFFF"/>
              <w:right w:val="single" w:sz="8" w:space="0" w:color="FFFFFF"/>
            </w:tcBorders>
            <w:tcMar>
              <w:top w:w="80" w:type="dxa"/>
              <w:left w:w="100" w:type="dxa"/>
              <w:bottom w:w="80" w:type="dxa"/>
              <w:right w:w="100" w:type="dxa"/>
            </w:tcMar>
          </w:tcPr>
          <w:p w14:paraId="7B4996C6" w14:textId="77777777" w:rsidR="00020AE8" w:rsidRDefault="00000000">
            <w:pPr>
              <w:spacing w:line="223" w:lineRule="auto"/>
              <w:jc w:val="both"/>
              <w:rPr>
                <w:color w:val="222222"/>
                <w:sz w:val="20"/>
                <w:szCs w:val="20"/>
              </w:rPr>
            </w:pPr>
            <w:r>
              <w:rPr>
                <w:color w:val="222222"/>
                <w:sz w:val="20"/>
                <w:szCs w:val="20"/>
              </w:rPr>
              <w:t>Bajo</w:t>
            </w:r>
          </w:p>
        </w:tc>
        <w:tc>
          <w:tcPr>
            <w:tcW w:w="5385" w:type="dxa"/>
            <w:tcBorders>
              <w:bottom w:val="single" w:sz="8" w:space="0" w:color="FFFFFF"/>
              <w:right w:val="single" w:sz="8" w:space="0" w:color="FFFFFF"/>
            </w:tcBorders>
            <w:tcMar>
              <w:top w:w="80" w:type="dxa"/>
              <w:left w:w="100" w:type="dxa"/>
              <w:bottom w:w="80" w:type="dxa"/>
              <w:right w:w="100" w:type="dxa"/>
            </w:tcMar>
          </w:tcPr>
          <w:p w14:paraId="512A264F" w14:textId="77777777" w:rsidR="00020AE8" w:rsidRDefault="00000000">
            <w:pPr>
              <w:spacing w:after="40" w:line="223" w:lineRule="auto"/>
              <w:jc w:val="both"/>
              <w:rPr>
                <w:color w:val="222222"/>
                <w:sz w:val="20"/>
                <w:szCs w:val="20"/>
              </w:rPr>
            </w:pPr>
            <w:r>
              <w:rPr>
                <w:color w:val="222222"/>
                <w:sz w:val="20"/>
                <w:szCs w:val="20"/>
              </w:rPr>
              <w:t>• Diseño transversal: solo relaciones directas, sin causalidad</w:t>
            </w:r>
          </w:p>
          <w:p w14:paraId="590C929E" w14:textId="77777777" w:rsidR="00020AE8" w:rsidRDefault="00000000">
            <w:pPr>
              <w:spacing w:after="40" w:line="223" w:lineRule="auto"/>
              <w:jc w:val="both"/>
              <w:rPr>
                <w:color w:val="222222"/>
                <w:sz w:val="20"/>
                <w:szCs w:val="20"/>
              </w:rPr>
            </w:pPr>
            <w:r>
              <w:rPr>
                <w:color w:val="222222"/>
                <w:sz w:val="20"/>
                <w:szCs w:val="20"/>
              </w:rPr>
              <w:t>• Autoinforme único del adolescente</w:t>
            </w:r>
          </w:p>
          <w:p w14:paraId="5261A325" w14:textId="77777777" w:rsidR="00020AE8" w:rsidRDefault="00000000">
            <w:pPr>
              <w:spacing w:after="40" w:line="223" w:lineRule="auto"/>
              <w:jc w:val="both"/>
              <w:rPr>
                <w:color w:val="222222"/>
                <w:sz w:val="20"/>
                <w:szCs w:val="20"/>
              </w:rPr>
            </w:pPr>
            <w:r>
              <w:rPr>
                <w:color w:val="222222"/>
                <w:sz w:val="20"/>
                <w:szCs w:val="20"/>
              </w:rPr>
              <w:t>• Muestra no representativa y heterogénea (institucional + comunitaria)</w:t>
            </w:r>
          </w:p>
          <w:p w14:paraId="06BCA3ED" w14:textId="77777777" w:rsidR="00020AE8" w:rsidRDefault="00000000">
            <w:pPr>
              <w:spacing w:line="223" w:lineRule="auto"/>
              <w:jc w:val="both"/>
              <w:rPr>
                <w:color w:val="222222"/>
                <w:sz w:val="20"/>
                <w:szCs w:val="20"/>
              </w:rPr>
            </w:pPr>
            <w:r>
              <w:rPr>
                <w:color w:val="222222"/>
                <w:sz w:val="20"/>
                <w:szCs w:val="20"/>
              </w:rPr>
              <w:t>• Protocolo extenso, con posible fatiga del respondiente</w:t>
            </w:r>
          </w:p>
        </w:tc>
      </w:tr>
      <w:tr w:rsidR="00020AE8" w14:paraId="0CD98333" w14:textId="77777777">
        <w:trPr>
          <w:trHeight w:val="1410"/>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1129A41" w14:textId="77777777" w:rsidR="00020AE8" w:rsidRDefault="00000000">
            <w:pPr>
              <w:spacing w:line="223" w:lineRule="auto"/>
              <w:jc w:val="both"/>
              <w:rPr>
                <w:color w:val="222222"/>
                <w:sz w:val="20"/>
                <w:szCs w:val="20"/>
              </w:rPr>
            </w:pPr>
            <w:r>
              <w:rPr>
                <w:color w:val="222222"/>
                <w:sz w:val="20"/>
                <w:szCs w:val="20"/>
              </w:rPr>
              <w:lastRenderedPageBreak/>
              <w:t>Martínez-Ferrer, Romero-Abrio, Moreno-Ruiz y Musitu (2018)</w:t>
            </w:r>
          </w:p>
        </w:tc>
        <w:tc>
          <w:tcPr>
            <w:tcW w:w="1020" w:type="dxa"/>
            <w:tcBorders>
              <w:bottom w:val="single" w:sz="8" w:space="0" w:color="FFFFFF"/>
              <w:right w:val="single" w:sz="8" w:space="0" w:color="FFFFFF"/>
            </w:tcBorders>
            <w:tcMar>
              <w:top w:w="80" w:type="dxa"/>
              <w:left w:w="100" w:type="dxa"/>
              <w:bottom w:w="80" w:type="dxa"/>
              <w:right w:w="100" w:type="dxa"/>
            </w:tcMar>
          </w:tcPr>
          <w:p w14:paraId="51B47DB0"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1446AD1F" w14:textId="77777777" w:rsidR="00020AE8" w:rsidRDefault="00000000">
            <w:pPr>
              <w:spacing w:line="223" w:lineRule="auto"/>
              <w:jc w:val="both"/>
              <w:rPr>
                <w:color w:val="222222"/>
                <w:sz w:val="20"/>
                <w:szCs w:val="20"/>
              </w:rPr>
            </w:pPr>
            <w:r>
              <w:rPr>
                <w:color w:val="222222"/>
                <w:sz w:val="20"/>
                <w:szCs w:val="20"/>
              </w:rPr>
              <w:t>8/10</w:t>
            </w:r>
          </w:p>
        </w:tc>
        <w:tc>
          <w:tcPr>
            <w:tcW w:w="1005" w:type="dxa"/>
            <w:tcBorders>
              <w:bottom w:val="single" w:sz="8" w:space="0" w:color="FFFFFF"/>
              <w:right w:val="single" w:sz="8" w:space="0" w:color="FFFFFF"/>
            </w:tcBorders>
            <w:tcMar>
              <w:top w:w="80" w:type="dxa"/>
              <w:left w:w="100" w:type="dxa"/>
              <w:bottom w:w="80" w:type="dxa"/>
              <w:right w:w="100" w:type="dxa"/>
            </w:tcMar>
          </w:tcPr>
          <w:p w14:paraId="766C2C1D" w14:textId="77777777" w:rsidR="00020AE8" w:rsidRDefault="00000000">
            <w:pPr>
              <w:spacing w:line="223" w:lineRule="auto"/>
              <w:jc w:val="both"/>
              <w:rPr>
                <w:color w:val="222222"/>
                <w:sz w:val="20"/>
                <w:szCs w:val="20"/>
              </w:rPr>
            </w:pPr>
            <w:r>
              <w:rPr>
                <w:color w:val="222222"/>
                <w:sz w:val="20"/>
                <w:szCs w:val="20"/>
              </w:rPr>
              <w:t>Bajo</w:t>
            </w:r>
          </w:p>
        </w:tc>
        <w:tc>
          <w:tcPr>
            <w:tcW w:w="5385" w:type="dxa"/>
            <w:tcBorders>
              <w:bottom w:val="single" w:sz="8" w:space="0" w:color="FFFFFF"/>
              <w:right w:val="single" w:sz="8" w:space="0" w:color="FFFFFF"/>
            </w:tcBorders>
            <w:tcMar>
              <w:top w:w="80" w:type="dxa"/>
              <w:left w:w="100" w:type="dxa"/>
              <w:bottom w:w="80" w:type="dxa"/>
              <w:right w:w="100" w:type="dxa"/>
            </w:tcMar>
          </w:tcPr>
          <w:p w14:paraId="2EE55B08" w14:textId="77777777" w:rsidR="00020AE8" w:rsidRDefault="00000000">
            <w:pPr>
              <w:spacing w:after="40" w:line="223" w:lineRule="auto"/>
              <w:jc w:val="both"/>
              <w:rPr>
                <w:color w:val="222222"/>
                <w:sz w:val="20"/>
                <w:szCs w:val="20"/>
              </w:rPr>
            </w:pPr>
            <w:r>
              <w:rPr>
                <w:color w:val="222222"/>
                <w:sz w:val="20"/>
                <w:szCs w:val="20"/>
              </w:rPr>
              <w:t>• Diseño transversal</w:t>
            </w:r>
          </w:p>
          <w:p w14:paraId="2FE21D8B" w14:textId="77777777" w:rsidR="00020AE8" w:rsidRDefault="00000000">
            <w:pPr>
              <w:spacing w:after="40" w:line="223" w:lineRule="auto"/>
              <w:jc w:val="both"/>
              <w:rPr>
                <w:color w:val="222222"/>
                <w:sz w:val="20"/>
                <w:szCs w:val="20"/>
              </w:rPr>
            </w:pPr>
            <w:r>
              <w:rPr>
                <w:color w:val="222222"/>
                <w:sz w:val="20"/>
                <w:szCs w:val="20"/>
              </w:rPr>
              <w:t>• Autoinforme único sobre tema sensible (posible deseabilidad social)</w:t>
            </w:r>
          </w:p>
          <w:p w14:paraId="10943CF5" w14:textId="77777777" w:rsidR="00020AE8" w:rsidRDefault="00000000">
            <w:pPr>
              <w:spacing w:after="40" w:line="223" w:lineRule="auto"/>
              <w:jc w:val="both"/>
              <w:rPr>
                <w:color w:val="222222"/>
                <w:sz w:val="20"/>
                <w:szCs w:val="20"/>
              </w:rPr>
            </w:pPr>
            <w:r>
              <w:rPr>
                <w:color w:val="222222"/>
                <w:sz w:val="20"/>
                <w:szCs w:val="20"/>
              </w:rPr>
              <w:t>• VFP dicotomizada en alta/baja, con pérdida de información</w:t>
            </w:r>
          </w:p>
          <w:p w14:paraId="21F34637" w14:textId="77777777" w:rsidR="00020AE8" w:rsidRDefault="00000000">
            <w:pPr>
              <w:spacing w:line="223" w:lineRule="auto"/>
              <w:jc w:val="both"/>
              <w:rPr>
                <w:color w:val="222222"/>
                <w:sz w:val="20"/>
                <w:szCs w:val="20"/>
              </w:rPr>
            </w:pPr>
            <w:r>
              <w:rPr>
                <w:color w:val="222222"/>
                <w:sz w:val="20"/>
                <w:szCs w:val="20"/>
              </w:rPr>
              <w:t>• Fiabilidad modesta de la subescala global de VFP (α = .71)</w:t>
            </w:r>
          </w:p>
        </w:tc>
      </w:tr>
      <w:tr w:rsidR="00020AE8" w14:paraId="14426794"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0F8AFF7E" w14:textId="77777777" w:rsidR="00020AE8" w:rsidRDefault="00000000">
            <w:pPr>
              <w:spacing w:line="223" w:lineRule="auto"/>
              <w:jc w:val="both"/>
              <w:rPr>
                <w:color w:val="222222"/>
                <w:sz w:val="20"/>
                <w:szCs w:val="20"/>
              </w:rPr>
            </w:pPr>
            <w:r>
              <w:rPr>
                <w:color w:val="222222"/>
                <w:sz w:val="20"/>
                <w:szCs w:val="20"/>
              </w:rPr>
              <w:t>Contreras y Cano (2016)</w:t>
            </w:r>
          </w:p>
        </w:tc>
        <w:tc>
          <w:tcPr>
            <w:tcW w:w="1020" w:type="dxa"/>
            <w:tcBorders>
              <w:bottom w:val="single" w:sz="8" w:space="0" w:color="FFFFFF"/>
              <w:right w:val="single" w:sz="8" w:space="0" w:color="FFFFFF"/>
            </w:tcBorders>
            <w:tcMar>
              <w:top w:w="80" w:type="dxa"/>
              <w:left w:w="100" w:type="dxa"/>
              <w:bottom w:w="80" w:type="dxa"/>
              <w:right w:w="100" w:type="dxa"/>
            </w:tcMar>
          </w:tcPr>
          <w:p w14:paraId="62782E95" w14:textId="77777777" w:rsidR="00020AE8" w:rsidRDefault="00000000">
            <w:pPr>
              <w:spacing w:line="223" w:lineRule="auto"/>
              <w:jc w:val="both"/>
              <w:rPr>
                <w:color w:val="222222"/>
                <w:sz w:val="20"/>
                <w:szCs w:val="20"/>
              </w:rPr>
            </w:pPr>
            <w:r>
              <w:rPr>
                <w:color w:val="222222"/>
                <w:sz w:val="20"/>
                <w:szCs w:val="20"/>
              </w:rPr>
              <w:t>NOS — casos y controles</w:t>
            </w:r>
          </w:p>
        </w:tc>
        <w:tc>
          <w:tcPr>
            <w:tcW w:w="795" w:type="dxa"/>
            <w:tcBorders>
              <w:bottom w:val="single" w:sz="8" w:space="0" w:color="FFFFFF"/>
              <w:right w:val="single" w:sz="8" w:space="0" w:color="FFFFFF"/>
            </w:tcBorders>
            <w:tcMar>
              <w:top w:w="80" w:type="dxa"/>
              <w:left w:w="100" w:type="dxa"/>
              <w:bottom w:w="80" w:type="dxa"/>
              <w:right w:w="100" w:type="dxa"/>
            </w:tcMar>
          </w:tcPr>
          <w:p w14:paraId="379FF19B" w14:textId="77777777" w:rsidR="00020AE8" w:rsidRDefault="00000000">
            <w:pPr>
              <w:spacing w:line="223" w:lineRule="auto"/>
              <w:jc w:val="both"/>
              <w:rPr>
                <w:color w:val="222222"/>
                <w:sz w:val="20"/>
                <w:szCs w:val="20"/>
              </w:rPr>
            </w:pPr>
            <w:r>
              <w:rPr>
                <w:color w:val="222222"/>
                <w:sz w:val="20"/>
                <w:szCs w:val="20"/>
              </w:rPr>
              <w:t>5/9</w:t>
            </w:r>
          </w:p>
        </w:tc>
        <w:tc>
          <w:tcPr>
            <w:tcW w:w="1005" w:type="dxa"/>
            <w:tcBorders>
              <w:bottom w:val="single" w:sz="8" w:space="0" w:color="FFFFFF"/>
              <w:right w:val="single" w:sz="8" w:space="0" w:color="FFFFFF"/>
            </w:tcBorders>
            <w:tcMar>
              <w:top w:w="80" w:type="dxa"/>
              <w:left w:w="100" w:type="dxa"/>
              <w:bottom w:w="80" w:type="dxa"/>
              <w:right w:w="100" w:type="dxa"/>
            </w:tcMar>
          </w:tcPr>
          <w:p w14:paraId="0E049B3B"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FFFFFF"/>
              <w:right w:val="single" w:sz="8" w:space="0" w:color="FFFFFF"/>
            </w:tcBorders>
            <w:tcMar>
              <w:top w:w="80" w:type="dxa"/>
              <w:left w:w="100" w:type="dxa"/>
              <w:bottom w:w="80" w:type="dxa"/>
              <w:right w:w="100" w:type="dxa"/>
            </w:tcMar>
          </w:tcPr>
          <w:p w14:paraId="61C3EAB1" w14:textId="77777777" w:rsidR="00020AE8" w:rsidRDefault="00000000">
            <w:pPr>
              <w:spacing w:after="40" w:line="223" w:lineRule="auto"/>
              <w:jc w:val="both"/>
              <w:rPr>
                <w:color w:val="222222"/>
                <w:sz w:val="20"/>
                <w:szCs w:val="20"/>
              </w:rPr>
            </w:pPr>
            <w:r>
              <w:rPr>
                <w:color w:val="222222"/>
                <w:sz w:val="20"/>
                <w:szCs w:val="20"/>
              </w:rPr>
              <w:t>• Muestra pequeña (N = 90) de una sola región</w:t>
            </w:r>
          </w:p>
          <w:p w14:paraId="340F7459" w14:textId="77777777" w:rsidR="00020AE8" w:rsidRDefault="00000000">
            <w:pPr>
              <w:spacing w:after="40" w:line="223" w:lineRule="auto"/>
              <w:jc w:val="both"/>
              <w:rPr>
                <w:color w:val="222222"/>
                <w:sz w:val="20"/>
                <w:szCs w:val="20"/>
              </w:rPr>
            </w:pPr>
            <w:r>
              <w:rPr>
                <w:color w:val="222222"/>
                <w:sz w:val="20"/>
                <w:szCs w:val="20"/>
              </w:rPr>
              <w:t>• Desbalance de sexo entre grupos, no controlado</w:t>
            </w:r>
          </w:p>
          <w:p w14:paraId="4FEF5153" w14:textId="77777777" w:rsidR="00020AE8" w:rsidRDefault="00000000">
            <w:pPr>
              <w:spacing w:after="40" w:line="223" w:lineRule="auto"/>
              <w:jc w:val="both"/>
              <w:rPr>
                <w:color w:val="222222"/>
                <w:sz w:val="20"/>
                <w:szCs w:val="20"/>
              </w:rPr>
            </w:pPr>
            <w:r>
              <w:rPr>
                <w:color w:val="222222"/>
                <w:sz w:val="20"/>
                <w:szCs w:val="20"/>
              </w:rPr>
              <w:t>• Posible VFP no denunciada en los grupos de comparación</w:t>
            </w:r>
          </w:p>
          <w:p w14:paraId="2B0FB292" w14:textId="77777777" w:rsidR="00020AE8" w:rsidRDefault="00000000">
            <w:pPr>
              <w:spacing w:line="223" w:lineRule="auto"/>
              <w:jc w:val="both"/>
              <w:rPr>
                <w:color w:val="222222"/>
                <w:sz w:val="20"/>
                <w:szCs w:val="20"/>
              </w:rPr>
            </w:pPr>
            <w:r>
              <w:rPr>
                <w:color w:val="222222"/>
                <w:sz w:val="20"/>
                <w:szCs w:val="20"/>
              </w:rPr>
              <w:t>• Exposición evaluada tras la denuncia parental (sesgo de percepción)</w:t>
            </w:r>
          </w:p>
        </w:tc>
      </w:tr>
      <w:tr w:rsidR="00020AE8" w14:paraId="275B9010"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528C58C1" w14:textId="77777777" w:rsidR="00020AE8" w:rsidRDefault="00000000">
            <w:pPr>
              <w:spacing w:line="223" w:lineRule="auto"/>
              <w:jc w:val="both"/>
              <w:rPr>
                <w:color w:val="222222"/>
                <w:sz w:val="20"/>
                <w:szCs w:val="20"/>
              </w:rPr>
            </w:pPr>
            <w:r>
              <w:rPr>
                <w:color w:val="222222"/>
                <w:sz w:val="20"/>
                <w:szCs w:val="20"/>
              </w:rPr>
              <w:t>Gao, Kong, Zhang y Wang (2026)</w:t>
            </w:r>
          </w:p>
        </w:tc>
        <w:tc>
          <w:tcPr>
            <w:tcW w:w="1020" w:type="dxa"/>
            <w:tcBorders>
              <w:bottom w:val="single" w:sz="8" w:space="0" w:color="FFFFFF"/>
              <w:right w:val="single" w:sz="8" w:space="0" w:color="FFFFFF"/>
            </w:tcBorders>
            <w:tcMar>
              <w:top w:w="80" w:type="dxa"/>
              <w:left w:w="100" w:type="dxa"/>
              <w:bottom w:w="80" w:type="dxa"/>
              <w:right w:w="100" w:type="dxa"/>
            </w:tcMar>
          </w:tcPr>
          <w:p w14:paraId="6D35C298"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FFFFFF"/>
              <w:right w:val="single" w:sz="8" w:space="0" w:color="FFFFFF"/>
            </w:tcBorders>
            <w:tcMar>
              <w:top w:w="80" w:type="dxa"/>
              <w:left w:w="100" w:type="dxa"/>
              <w:bottom w:w="80" w:type="dxa"/>
              <w:right w:w="100" w:type="dxa"/>
            </w:tcMar>
          </w:tcPr>
          <w:p w14:paraId="4277434B" w14:textId="77777777" w:rsidR="00020AE8" w:rsidRDefault="00000000">
            <w:pPr>
              <w:spacing w:line="223" w:lineRule="auto"/>
              <w:jc w:val="both"/>
              <w:rPr>
                <w:color w:val="222222"/>
                <w:sz w:val="20"/>
                <w:szCs w:val="20"/>
              </w:rPr>
            </w:pPr>
            <w:r>
              <w:rPr>
                <w:color w:val="222222"/>
                <w:sz w:val="20"/>
                <w:szCs w:val="20"/>
              </w:rPr>
              <w:t>8/10</w:t>
            </w:r>
          </w:p>
        </w:tc>
        <w:tc>
          <w:tcPr>
            <w:tcW w:w="1005" w:type="dxa"/>
            <w:tcBorders>
              <w:bottom w:val="single" w:sz="8" w:space="0" w:color="FFFFFF"/>
              <w:right w:val="single" w:sz="8" w:space="0" w:color="FFFFFF"/>
            </w:tcBorders>
            <w:tcMar>
              <w:top w:w="80" w:type="dxa"/>
              <w:left w:w="100" w:type="dxa"/>
              <w:bottom w:w="80" w:type="dxa"/>
              <w:right w:w="100" w:type="dxa"/>
            </w:tcMar>
          </w:tcPr>
          <w:p w14:paraId="745D7AAC" w14:textId="77777777" w:rsidR="00020AE8" w:rsidRDefault="00000000">
            <w:pPr>
              <w:spacing w:line="223" w:lineRule="auto"/>
              <w:jc w:val="both"/>
              <w:rPr>
                <w:color w:val="222222"/>
                <w:sz w:val="20"/>
                <w:szCs w:val="20"/>
              </w:rPr>
            </w:pPr>
            <w:r>
              <w:rPr>
                <w:color w:val="222222"/>
                <w:sz w:val="20"/>
                <w:szCs w:val="20"/>
              </w:rPr>
              <w:t>Bajo</w:t>
            </w:r>
          </w:p>
        </w:tc>
        <w:tc>
          <w:tcPr>
            <w:tcW w:w="5385" w:type="dxa"/>
            <w:tcBorders>
              <w:bottom w:val="single" w:sz="8" w:space="0" w:color="FFFFFF"/>
              <w:right w:val="single" w:sz="8" w:space="0" w:color="FFFFFF"/>
            </w:tcBorders>
            <w:tcMar>
              <w:top w:w="80" w:type="dxa"/>
              <w:left w:w="100" w:type="dxa"/>
              <w:bottom w:w="80" w:type="dxa"/>
              <w:right w:w="100" w:type="dxa"/>
            </w:tcMar>
          </w:tcPr>
          <w:p w14:paraId="4137FDF0" w14:textId="77777777" w:rsidR="00020AE8" w:rsidRDefault="00000000">
            <w:pPr>
              <w:spacing w:after="40" w:line="223" w:lineRule="auto"/>
              <w:jc w:val="both"/>
              <w:rPr>
                <w:color w:val="222222"/>
                <w:sz w:val="20"/>
                <w:szCs w:val="20"/>
              </w:rPr>
            </w:pPr>
            <w:r>
              <w:rPr>
                <w:color w:val="222222"/>
                <w:sz w:val="20"/>
                <w:szCs w:val="20"/>
              </w:rPr>
              <w:t>• Diseño transversal con autoinforme único</w:t>
            </w:r>
          </w:p>
          <w:p w14:paraId="1C15B7EE" w14:textId="77777777" w:rsidR="00020AE8" w:rsidRDefault="00000000">
            <w:pPr>
              <w:spacing w:after="40" w:line="223" w:lineRule="auto"/>
              <w:jc w:val="both"/>
              <w:rPr>
                <w:color w:val="222222"/>
                <w:sz w:val="20"/>
                <w:szCs w:val="20"/>
              </w:rPr>
            </w:pPr>
            <w:r>
              <w:rPr>
                <w:color w:val="222222"/>
                <w:sz w:val="20"/>
                <w:szCs w:val="20"/>
              </w:rPr>
              <w:t>• Muestreo por conveniencia (tres escuelas), no representativo</w:t>
            </w:r>
          </w:p>
          <w:p w14:paraId="083DF3D7" w14:textId="77777777" w:rsidR="00020AE8" w:rsidRDefault="00000000">
            <w:pPr>
              <w:spacing w:after="40" w:line="223" w:lineRule="auto"/>
              <w:jc w:val="both"/>
              <w:rPr>
                <w:color w:val="222222"/>
                <w:sz w:val="20"/>
                <w:szCs w:val="20"/>
              </w:rPr>
            </w:pPr>
            <w:r>
              <w:rPr>
                <w:color w:val="222222"/>
                <w:sz w:val="20"/>
                <w:szCs w:val="20"/>
              </w:rPr>
              <w:t>• Contexto cultural en que la disciplina severa puede normalizarse y subreportarse</w:t>
            </w:r>
          </w:p>
          <w:p w14:paraId="4BC0326E" w14:textId="77777777" w:rsidR="00020AE8" w:rsidRDefault="00000000">
            <w:pPr>
              <w:spacing w:line="223" w:lineRule="auto"/>
              <w:jc w:val="both"/>
              <w:rPr>
                <w:color w:val="222222"/>
                <w:sz w:val="20"/>
                <w:szCs w:val="20"/>
              </w:rPr>
            </w:pPr>
            <w:r>
              <w:rPr>
                <w:color w:val="222222"/>
                <w:sz w:val="20"/>
                <w:szCs w:val="20"/>
              </w:rPr>
              <w:t>• Sin cálculo de potencia estadística</w:t>
            </w:r>
          </w:p>
        </w:tc>
      </w:tr>
      <w:tr w:rsidR="00020AE8" w14:paraId="11B9271F" w14:textId="77777777">
        <w:trPr>
          <w:trHeight w:val="1245"/>
        </w:trPr>
        <w:tc>
          <w:tcPr>
            <w:tcW w:w="1935" w:type="dxa"/>
            <w:tcBorders>
              <w:left w:val="single" w:sz="8" w:space="0" w:color="FFFFFF"/>
              <w:bottom w:val="single" w:sz="8" w:space="0" w:color="FFFFFF"/>
              <w:right w:val="single" w:sz="8" w:space="0" w:color="FFFFFF"/>
            </w:tcBorders>
            <w:tcMar>
              <w:top w:w="80" w:type="dxa"/>
              <w:left w:w="100" w:type="dxa"/>
              <w:bottom w:w="80" w:type="dxa"/>
              <w:right w:w="100" w:type="dxa"/>
            </w:tcMar>
          </w:tcPr>
          <w:p w14:paraId="7EB27114" w14:textId="77777777" w:rsidR="00020AE8" w:rsidRDefault="00000000">
            <w:pPr>
              <w:spacing w:line="223" w:lineRule="auto"/>
              <w:jc w:val="both"/>
              <w:rPr>
                <w:color w:val="222222"/>
                <w:sz w:val="20"/>
                <w:szCs w:val="20"/>
              </w:rPr>
            </w:pPr>
            <w:r>
              <w:rPr>
                <w:color w:val="222222"/>
                <w:sz w:val="20"/>
                <w:szCs w:val="20"/>
              </w:rPr>
              <w:t>Baker, Radford, Harbin y Barter (2025)</w:t>
            </w:r>
          </w:p>
        </w:tc>
        <w:tc>
          <w:tcPr>
            <w:tcW w:w="1020" w:type="dxa"/>
            <w:tcBorders>
              <w:bottom w:val="single" w:sz="8" w:space="0" w:color="FFFFFF"/>
              <w:right w:val="single" w:sz="8" w:space="0" w:color="FFFFFF"/>
            </w:tcBorders>
            <w:tcMar>
              <w:top w:w="80" w:type="dxa"/>
              <w:left w:w="100" w:type="dxa"/>
              <w:bottom w:w="80" w:type="dxa"/>
              <w:right w:w="100" w:type="dxa"/>
            </w:tcMar>
          </w:tcPr>
          <w:p w14:paraId="1EA9001B" w14:textId="77777777" w:rsidR="00020AE8" w:rsidRDefault="00000000">
            <w:pPr>
              <w:spacing w:line="223" w:lineRule="auto"/>
              <w:jc w:val="both"/>
              <w:rPr>
                <w:color w:val="222222"/>
                <w:sz w:val="20"/>
                <w:szCs w:val="20"/>
              </w:rPr>
            </w:pPr>
            <w:r>
              <w:rPr>
                <w:color w:val="222222"/>
                <w:sz w:val="20"/>
                <w:szCs w:val="20"/>
              </w:rPr>
              <w:t>CASP (cualitativo)</w:t>
            </w:r>
          </w:p>
        </w:tc>
        <w:tc>
          <w:tcPr>
            <w:tcW w:w="795" w:type="dxa"/>
            <w:tcBorders>
              <w:bottom w:val="single" w:sz="8" w:space="0" w:color="FFFFFF"/>
              <w:right w:val="single" w:sz="8" w:space="0" w:color="FFFFFF"/>
            </w:tcBorders>
            <w:tcMar>
              <w:top w:w="80" w:type="dxa"/>
              <w:left w:w="100" w:type="dxa"/>
              <w:bottom w:w="80" w:type="dxa"/>
              <w:right w:w="100" w:type="dxa"/>
            </w:tcMar>
          </w:tcPr>
          <w:p w14:paraId="5475DEC1" w14:textId="77777777" w:rsidR="00020AE8" w:rsidRDefault="00000000">
            <w:pPr>
              <w:spacing w:line="223" w:lineRule="auto"/>
              <w:jc w:val="both"/>
              <w:rPr>
                <w:color w:val="222222"/>
                <w:sz w:val="20"/>
                <w:szCs w:val="20"/>
              </w:rPr>
            </w:pPr>
            <w:sdt>
              <w:sdtPr>
                <w:tag w:val="goog_rdk_3"/>
                <w:id w:val="301610071"/>
              </w:sdtPr>
              <w:sdtContent>
                <w:r>
                  <w:rPr>
                    <w:rFonts w:ascii="Gungsuh" w:eastAsia="Gungsuh" w:hAnsi="Gungsuh" w:cs="Gungsuh"/>
                    <w:color w:val="222222"/>
                    <w:sz w:val="20"/>
                    <w:szCs w:val="20"/>
                  </w:rPr>
                  <w:t>≈9/10 (CASP)</w:t>
                </w:r>
              </w:sdtContent>
            </w:sdt>
          </w:p>
        </w:tc>
        <w:tc>
          <w:tcPr>
            <w:tcW w:w="1005" w:type="dxa"/>
            <w:tcBorders>
              <w:bottom w:val="single" w:sz="8" w:space="0" w:color="FFFFFF"/>
              <w:right w:val="single" w:sz="8" w:space="0" w:color="FFFFFF"/>
            </w:tcBorders>
            <w:tcMar>
              <w:top w:w="80" w:type="dxa"/>
              <w:left w:w="100" w:type="dxa"/>
              <w:bottom w:w="80" w:type="dxa"/>
              <w:right w:w="100" w:type="dxa"/>
            </w:tcMar>
          </w:tcPr>
          <w:p w14:paraId="48EF6EE0" w14:textId="77777777" w:rsidR="00020AE8" w:rsidRDefault="00000000">
            <w:pPr>
              <w:spacing w:line="223" w:lineRule="auto"/>
              <w:jc w:val="both"/>
              <w:rPr>
                <w:color w:val="222222"/>
                <w:sz w:val="20"/>
                <w:szCs w:val="20"/>
              </w:rPr>
            </w:pPr>
            <w:r>
              <w:rPr>
                <w:color w:val="222222"/>
                <w:sz w:val="20"/>
                <w:szCs w:val="20"/>
              </w:rPr>
              <w:t>Bajo</w:t>
            </w:r>
          </w:p>
        </w:tc>
        <w:tc>
          <w:tcPr>
            <w:tcW w:w="5385" w:type="dxa"/>
            <w:tcBorders>
              <w:bottom w:val="single" w:sz="8" w:space="0" w:color="FFFFFF"/>
              <w:right w:val="single" w:sz="8" w:space="0" w:color="FFFFFF"/>
            </w:tcBorders>
            <w:tcMar>
              <w:top w:w="80" w:type="dxa"/>
              <w:left w:w="100" w:type="dxa"/>
              <w:bottom w:w="80" w:type="dxa"/>
              <w:right w:w="100" w:type="dxa"/>
            </w:tcMar>
          </w:tcPr>
          <w:p w14:paraId="247D5C45" w14:textId="77777777" w:rsidR="00020AE8" w:rsidRDefault="00000000">
            <w:pPr>
              <w:spacing w:after="40" w:line="223" w:lineRule="auto"/>
              <w:jc w:val="both"/>
              <w:rPr>
                <w:color w:val="222222"/>
                <w:sz w:val="20"/>
                <w:szCs w:val="20"/>
              </w:rPr>
            </w:pPr>
            <w:r>
              <w:rPr>
                <w:color w:val="222222"/>
                <w:sz w:val="20"/>
                <w:szCs w:val="20"/>
              </w:rPr>
              <w:t>• Muestra pequeña, hallazgos exploratorios y no generalizables (n = 13)</w:t>
            </w:r>
          </w:p>
          <w:p w14:paraId="7849952F" w14:textId="77777777" w:rsidR="00020AE8" w:rsidRDefault="00000000">
            <w:pPr>
              <w:spacing w:after="40" w:line="223" w:lineRule="auto"/>
              <w:jc w:val="both"/>
              <w:rPr>
                <w:color w:val="222222"/>
                <w:sz w:val="20"/>
                <w:szCs w:val="20"/>
              </w:rPr>
            </w:pPr>
            <w:r>
              <w:rPr>
                <w:color w:val="222222"/>
                <w:sz w:val="20"/>
                <w:szCs w:val="20"/>
              </w:rPr>
              <w:t>• Selección en justicia juvenil mediada por el key worker</w:t>
            </w:r>
          </w:p>
          <w:p w14:paraId="39ED2F46" w14:textId="77777777" w:rsidR="00020AE8" w:rsidRDefault="00000000">
            <w:pPr>
              <w:spacing w:after="40" w:line="223" w:lineRule="auto"/>
              <w:jc w:val="both"/>
              <w:rPr>
                <w:color w:val="222222"/>
                <w:sz w:val="20"/>
                <w:szCs w:val="20"/>
              </w:rPr>
            </w:pPr>
            <w:r>
              <w:rPr>
                <w:color w:val="222222"/>
                <w:sz w:val="20"/>
                <w:szCs w:val="20"/>
              </w:rPr>
              <w:t>• Sin declaración formal de reflexividad del investigador</w:t>
            </w:r>
          </w:p>
          <w:p w14:paraId="5B3B6C5E" w14:textId="77777777" w:rsidR="00020AE8" w:rsidRDefault="00000000">
            <w:pPr>
              <w:spacing w:line="223" w:lineRule="auto"/>
              <w:jc w:val="both"/>
              <w:rPr>
                <w:color w:val="222222"/>
                <w:sz w:val="20"/>
                <w:szCs w:val="20"/>
              </w:rPr>
            </w:pPr>
            <w:r>
              <w:rPr>
                <w:color w:val="222222"/>
                <w:sz w:val="20"/>
                <w:szCs w:val="20"/>
              </w:rPr>
              <w:t>• No explora a fondo identidades interseccionales (clase, etnia, discapacidad)</w:t>
            </w:r>
          </w:p>
        </w:tc>
      </w:tr>
      <w:tr w:rsidR="00020AE8" w14:paraId="66E9949B" w14:textId="77777777">
        <w:trPr>
          <w:trHeight w:val="1245"/>
        </w:trPr>
        <w:tc>
          <w:tcPr>
            <w:tcW w:w="1935" w:type="dxa"/>
            <w:tcBorders>
              <w:left w:val="single" w:sz="8" w:space="0" w:color="FFFFFF"/>
              <w:bottom w:val="single" w:sz="8" w:space="0" w:color="000000"/>
              <w:right w:val="single" w:sz="8" w:space="0" w:color="FFFFFF"/>
            </w:tcBorders>
            <w:tcMar>
              <w:top w:w="80" w:type="dxa"/>
              <w:left w:w="100" w:type="dxa"/>
              <w:bottom w:w="80" w:type="dxa"/>
              <w:right w:w="100" w:type="dxa"/>
            </w:tcMar>
          </w:tcPr>
          <w:p w14:paraId="071E82FE" w14:textId="77777777" w:rsidR="00020AE8" w:rsidRDefault="00000000">
            <w:pPr>
              <w:spacing w:line="223" w:lineRule="auto"/>
              <w:jc w:val="both"/>
              <w:rPr>
                <w:color w:val="222222"/>
                <w:sz w:val="20"/>
                <w:szCs w:val="20"/>
              </w:rPr>
            </w:pPr>
            <w:r>
              <w:rPr>
                <w:color w:val="222222"/>
                <w:sz w:val="20"/>
                <w:szCs w:val="20"/>
              </w:rPr>
              <w:t>Navas-Martínez y Cano-Lozano (2023)</w:t>
            </w:r>
          </w:p>
        </w:tc>
        <w:tc>
          <w:tcPr>
            <w:tcW w:w="1020" w:type="dxa"/>
            <w:tcBorders>
              <w:bottom w:val="single" w:sz="8" w:space="0" w:color="000000"/>
              <w:right w:val="single" w:sz="8" w:space="0" w:color="FFFFFF"/>
            </w:tcBorders>
            <w:tcMar>
              <w:top w:w="80" w:type="dxa"/>
              <w:left w:w="100" w:type="dxa"/>
              <w:bottom w:w="80" w:type="dxa"/>
              <w:right w:w="100" w:type="dxa"/>
            </w:tcMar>
          </w:tcPr>
          <w:p w14:paraId="3893FCA0" w14:textId="77777777" w:rsidR="00020AE8" w:rsidRDefault="00000000">
            <w:pPr>
              <w:spacing w:line="223" w:lineRule="auto"/>
              <w:jc w:val="both"/>
              <w:rPr>
                <w:color w:val="222222"/>
                <w:sz w:val="20"/>
                <w:szCs w:val="20"/>
              </w:rPr>
            </w:pPr>
            <w:r>
              <w:rPr>
                <w:color w:val="222222"/>
                <w:sz w:val="20"/>
                <w:szCs w:val="20"/>
              </w:rPr>
              <w:t>NOS — transversal</w:t>
            </w:r>
          </w:p>
        </w:tc>
        <w:tc>
          <w:tcPr>
            <w:tcW w:w="795" w:type="dxa"/>
            <w:tcBorders>
              <w:bottom w:val="single" w:sz="8" w:space="0" w:color="000000"/>
              <w:right w:val="single" w:sz="8" w:space="0" w:color="FFFFFF"/>
            </w:tcBorders>
            <w:tcMar>
              <w:top w:w="80" w:type="dxa"/>
              <w:left w:w="100" w:type="dxa"/>
              <w:bottom w:w="80" w:type="dxa"/>
              <w:right w:w="100" w:type="dxa"/>
            </w:tcMar>
          </w:tcPr>
          <w:p w14:paraId="204F625D" w14:textId="77777777" w:rsidR="00020AE8" w:rsidRDefault="00000000">
            <w:pPr>
              <w:spacing w:line="223" w:lineRule="auto"/>
              <w:jc w:val="both"/>
              <w:rPr>
                <w:color w:val="222222"/>
                <w:sz w:val="20"/>
                <w:szCs w:val="20"/>
              </w:rPr>
            </w:pPr>
            <w:r>
              <w:rPr>
                <w:color w:val="222222"/>
                <w:sz w:val="20"/>
                <w:szCs w:val="20"/>
              </w:rPr>
              <w:t>7/10</w:t>
            </w:r>
          </w:p>
        </w:tc>
        <w:tc>
          <w:tcPr>
            <w:tcW w:w="1005" w:type="dxa"/>
            <w:tcBorders>
              <w:bottom w:val="single" w:sz="8" w:space="0" w:color="000000"/>
              <w:right w:val="single" w:sz="8" w:space="0" w:color="FFFFFF"/>
            </w:tcBorders>
            <w:tcMar>
              <w:top w:w="80" w:type="dxa"/>
              <w:left w:w="100" w:type="dxa"/>
              <w:bottom w:w="80" w:type="dxa"/>
              <w:right w:w="100" w:type="dxa"/>
            </w:tcMar>
          </w:tcPr>
          <w:p w14:paraId="207D5444" w14:textId="77777777" w:rsidR="00020AE8" w:rsidRDefault="00000000">
            <w:pPr>
              <w:spacing w:line="223" w:lineRule="auto"/>
              <w:jc w:val="both"/>
              <w:rPr>
                <w:color w:val="222222"/>
                <w:sz w:val="20"/>
                <w:szCs w:val="20"/>
              </w:rPr>
            </w:pPr>
            <w:r>
              <w:rPr>
                <w:color w:val="222222"/>
                <w:sz w:val="20"/>
                <w:szCs w:val="20"/>
              </w:rPr>
              <w:t>Moderado</w:t>
            </w:r>
          </w:p>
        </w:tc>
        <w:tc>
          <w:tcPr>
            <w:tcW w:w="5385" w:type="dxa"/>
            <w:tcBorders>
              <w:bottom w:val="single" w:sz="8" w:space="0" w:color="000000"/>
              <w:right w:val="single" w:sz="8" w:space="0" w:color="FFFFFF"/>
            </w:tcBorders>
            <w:tcMar>
              <w:top w:w="80" w:type="dxa"/>
              <w:left w:w="100" w:type="dxa"/>
              <w:bottom w:w="80" w:type="dxa"/>
              <w:right w:w="100" w:type="dxa"/>
            </w:tcMar>
          </w:tcPr>
          <w:p w14:paraId="03167D50" w14:textId="77777777" w:rsidR="00020AE8" w:rsidRDefault="00000000">
            <w:pPr>
              <w:spacing w:after="40" w:line="223" w:lineRule="auto"/>
              <w:jc w:val="both"/>
              <w:rPr>
                <w:color w:val="222222"/>
                <w:sz w:val="20"/>
                <w:szCs w:val="20"/>
              </w:rPr>
            </w:pPr>
            <w:r>
              <w:rPr>
                <w:color w:val="222222"/>
                <w:sz w:val="20"/>
                <w:szCs w:val="20"/>
              </w:rPr>
              <w:t>• Diseño transversal, sin inferencia causal</w:t>
            </w:r>
          </w:p>
          <w:p w14:paraId="10D219EB" w14:textId="77777777" w:rsidR="00020AE8" w:rsidRDefault="00000000">
            <w:pPr>
              <w:spacing w:after="40" w:line="223" w:lineRule="auto"/>
              <w:jc w:val="both"/>
              <w:rPr>
                <w:color w:val="222222"/>
                <w:sz w:val="20"/>
                <w:szCs w:val="20"/>
              </w:rPr>
            </w:pPr>
            <w:r>
              <w:rPr>
                <w:color w:val="222222"/>
                <w:sz w:val="20"/>
                <w:szCs w:val="20"/>
              </w:rPr>
              <w:t>• Especificidad geográfica y cultural (dos provincias del sur de España)</w:t>
            </w:r>
          </w:p>
          <w:p w14:paraId="6738F429" w14:textId="77777777" w:rsidR="00020AE8" w:rsidRDefault="00000000">
            <w:pPr>
              <w:spacing w:after="40" w:line="223" w:lineRule="auto"/>
              <w:jc w:val="both"/>
              <w:rPr>
                <w:color w:val="222222"/>
                <w:sz w:val="20"/>
                <w:szCs w:val="20"/>
              </w:rPr>
            </w:pPr>
            <w:r>
              <w:rPr>
                <w:color w:val="222222"/>
                <w:sz w:val="20"/>
                <w:szCs w:val="20"/>
              </w:rPr>
              <w:t>• Autoinforme exclusivo del adolescente, sin triangulación</w:t>
            </w:r>
          </w:p>
          <w:p w14:paraId="0EFBA4AF" w14:textId="77777777" w:rsidR="00020AE8" w:rsidRDefault="00000000">
            <w:pPr>
              <w:spacing w:line="223" w:lineRule="auto"/>
              <w:jc w:val="both"/>
              <w:rPr>
                <w:color w:val="222222"/>
                <w:sz w:val="20"/>
                <w:szCs w:val="20"/>
              </w:rPr>
            </w:pPr>
            <w:r>
              <w:rPr>
                <w:color w:val="222222"/>
                <w:sz w:val="20"/>
                <w:szCs w:val="20"/>
              </w:rPr>
              <w:t>• Muestreo no probabilístico, sin justificación del tamaño muestral</w:t>
            </w:r>
          </w:p>
        </w:tc>
      </w:tr>
    </w:tbl>
    <w:p w14:paraId="29F6DFA4" w14:textId="77777777" w:rsidR="00020AE8" w:rsidRDefault="00000000">
      <w:pPr>
        <w:spacing w:before="160"/>
        <w:ind w:left="-425" w:right="-704"/>
        <w:jc w:val="both"/>
        <w:rPr>
          <w:b/>
          <w:bCs/>
          <w:color w:val="222222"/>
          <w:sz w:val="26"/>
          <w:szCs w:val="26"/>
        </w:rPr>
      </w:pPr>
      <w:r>
        <w:rPr>
          <w:i/>
          <w:iCs/>
          <w:color w:val="222222"/>
          <w:sz w:val="20"/>
          <w:szCs w:val="20"/>
        </w:rPr>
        <w:t xml:space="preserve">Nota. </w:t>
      </w:r>
      <w:sdt>
        <w:sdtPr>
          <w:tag w:val="goog_rdk_4"/>
          <w:id w:val="-1203163213"/>
        </w:sdtPr>
        <w:sdtContent>
          <w:r>
            <w:rPr>
              <w:rFonts w:ascii="Gungsuh" w:eastAsia="Gungsuh" w:hAnsi="Gungsuh" w:cs="Gungsuh"/>
              <w:color w:val="222222"/>
              <w:sz w:val="20"/>
              <w:szCs w:val="20"/>
            </w:rPr>
            <w:t xml:space="preserve">NOS = Newcastle-Ottawa Scale; CASP = Critical Appraisal Skills Programme. El puntaje de la NOS se expresa como estrellas obtenidas sobre el máximo de la variante aplicada (10 para diseños transversales, 9 para diseños de cohorte y de casos y controles); a mayor puntaje, menor riesgo de sesgo. Riesgo bajo: ≥8/10 u ≥8/9; moderado: 5-7 (sobre 9 o 10); alto: ≤4. En los estudios cualitativos evaluados con CASP no se calcula un puntaje numérico equivalente; se reporta la proporción aproximada de las diez dimensiones satisfechas de manera plena. </w:t>
          </w:r>
        </w:sdtContent>
      </w:sdt>
    </w:p>
    <w:p w14:paraId="7EEE6E8A" w14:textId="77777777" w:rsidR="00020AE8" w:rsidRDefault="00020AE8">
      <w:pPr>
        <w:rPr>
          <w:b/>
          <w:bCs/>
          <w:color w:val="222222"/>
        </w:rPr>
      </w:pPr>
    </w:p>
    <w:p w14:paraId="1C13ADC7" w14:textId="77777777" w:rsidR="00020AE8" w:rsidRDefault="00020AE8">
      <w:pPr>
        <w:rPr>
          <w:b/>
          <w:bCs/>
          <w:color w:val="222222"/>
        </w:rPr>
      </w:pPr>
    </w:p>
    <w:p w14:paraId="39FE78B2" w14:textId="77777777" w:rsidR="00020AE8" w:rsidRDefault="00000000">
      <w:pPr>
        <w:jc w:val="both"/>
        <w:rPr>
          <w:b/>
          <w:bCs/>
          <w:color w:val="222222"/>
        </w:rPr>
      </w:pPr>
      <w:r>
        <w:rPr>
          <w:b/>
          <w:bCs/>
          <w:color w:val="222222"/>
        </w:rPr>
        <w:t>Tabla 5</w:t>
      </w:r>
    </w:p>
    <w:p w14:paraId="7269107D" w14:textId="77777777" w:rsidR="00020AE8" w:rsidRDefault="00000000">
      <w:pPr>
        <w:spacing w:after="160"/>
        <w:jc w:val="both"/>
        <w:rPr>
          <w:i/>
          <w:iCs/>
          <w:color w:val="222222"/>
        </w:rPr>
      </w:pPr>
      <w:r>
        <w:rPr>
          <w:i/>
          <w:iCs/>
          <w:color w:val="222222"/>
        </w:rPr>
        <w:t>Distribución de estudios por categorías temáticas (N = 18)</w:t>
      </w:r>
    </w:p>
    <w:tbl>
      <w:tblPr>
        <w:tblStyle w:val="a3"/>
        <w:tblW w:w="9990" w:type="dxa"/>
        <w:tblInd w:w="-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60"/>
        <w:gridCol w:w="2595"/>
        <w:gridCol w:w="3150"/>
        <w:gridCol w:w="2145"/>
        <w:gridCol w:w="540"/>
      </w:tblGrid>
      <w:tr w:rsidR="00020AE8" w14:paraId="60ED00FB" w14:textId="77777777">
        <w:trPr>
          <w:trHeight w:val="645"/>
        </w:trPr>
        <w:tc>
          <w:tcPr>
            <w:tcW w:w="1560"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vAlign w:val="bottom"/>
          </w:tcPr>
          <w:p w14:paraId="43AA84B8" w14:textId="77777777" w:rsidR="00020AE8" w:rsidRDefault="00000000">
            <w:pPr>
              <w:jc w:val="both"/>
              <w:rPr>
                <w:b/>
                <w:bCs/>
                <w:i/>
                <w:iCs/>
                <w:color w:val="222222"/>
                <w:sz w:val="19"/>
                <w:szCs w:val="19"/>
              </w:rPr>
            </w:pPr>
            <w:r>
              <w:rPr>
                <w:b/>
                <w:bCs/>
                <w:i/>
                <w:iCs/>
                <w:color w:val="222222"/>
                <w:sz w:val="19"/>
                <w:szCs w:val="19"/>
              </w:rPr>
              <w:t>Categoría temática</w:t>
            </w:r>
          </w:p>
        </w:tc>
        <w:tc>
          <w:tcPr>
            <w:tcW w:w="2595" w:type="dxa"/>
            <w:tcBorders>
              <w:top w:val="single" w:sz="8" w:space="0" w:color="FFFFFF"/>
              <w:bottom w:val="single" w:sz="8" w:space="0" w:color="000000"/>
              <w:right w:val="single" w:sz="8" w:space="0" w:color="FFFFFF"/>
            </w:tcBorders>
            <w:tcMar>
              <w:top w:w="100" w:type="dxa"/>
              <w:left w:w="100" w:type="dxa"/>
              <w:bottom w:w="100" w:type="dxa"/>
              <w:right w:w="100" w:type="dxa"/>
            </w:tcMar>
            <w:vAlign w:val="bottom"/>
          </w:tcPr>
          <w:p w14:paraId="7FB263AD" w14:textId="77777777" w:rsidR="00020AE8" w:rsidRDefault="00000000">
            <w:pPr>
              <w:jc w:val="both"/>
              <w:rPr>
                <w:b/>
                <w:bCs/>
                <w:i/>
                <w:iCs/>
                <w:color w:val="222222"/>
                <w:sz w:val="19"/>
                <w:szCs w:val="19"/>
              </w:rPr>
            </w:pPr>
            <w:r>
              <w:rPr>
                <w:b/>
                <w:bCs/>
                <w:i/>
                <w:iCs/>
                <w:color w:val="222222"/>
                <w:sz w:val="19"/>
                <w:szCs w:val="19"/>
              </w:rPr>
              <w:t>Hallazgos agregados</w:t>
            </w:r>
          </w:p>
        </w:tc>
        <w:tc>
          <w:tcPr>
            <w:tcW w:w="3150" w:type="dxa"/>
            <w:tcBorders>
              <w:top w:val="single" w:sz="8" w:space="0" w:color="FFFFFF"/>
              <w:bottom w:val="single" w:sz="8" w:space="0" w:color="000000"/>
              <w:right w:val="single" w:sz="8" w:space="0" w:color="FFFFFF"/>
            </w:tcBorders>
            <w:tcMar>
              <w:top w:w="100" w:type="dxa"/>
              <w:left w:w="100" w:type="dxa"/>
              <w:bottom w:w="100" w:type="dxa"/>
              <w:right w:w="100" w:type="dxa"/>
            </w:tcMar>
            <w:vAlign w:val="bottom"/>
          </w:tcPr>
          <w:p w14:paraId="79A6E612" w14:textId="77777777" w:rsidR="00020AE8" w:rsidRDefault="00000000">
            <w:pPr>
              <w:jc w:val="both"/>
              <w:rPr>
                <w:b/>
                <w:bCs/>
                <w:i/>
                <w:iCs/>
                <w:color w:val="222222"/>
                <w:sz w:val="19"/>
                <w:szCs w:val="19"/>
              </w:rPr>
            </w:pPr>
            <w:r>
              <w:rPr>
                <w:b/>
                <w:bCs/>
                <w:i/>
                <w:iCs/>
                <w:color w:val="222222"/>
                <w:sz w:val="19"/>
                <w:szCs w:val="19"/>
              </w:rPr>
              <w:t>Interpretación analítica</w:t>
            </w:r>
          </w:p>
        </w:tc>
        <w:tc>
          <w:tcPr>
            <w:tcW w:w="2145" w:type="dxa"/>
            <w:tcBorders>
              <w:top w:val="single" w:sz="8" w:space="0" w:color="FFFFFF"/>
              <w:bottom w:val="single" w:sz="8" w:space="0" w:color="000000"/>
              <w:right w:val="single" w:sz="8" w:space="0" w:color="FFFFFF"/>
            </w:tcBorders>
            <w:tcMar>
              <w:top w:w="100" w:type="dxa"/>
              <w:left w:w="100" w:type="dxa"/>
              <w:bottom w:w="100" w:type="dxa"/>
              <w:right w:w="100" w:type="dxa"/>
            </w:tcMar>
            <w:vAlign w:val="bottom"/>
          </w:tcPr>
          <w:p w14:paraId="12D5350E" w14:textId="77777777" w:rsidR="00020AE8" w:rsidRDefault="00000000">
            <w:pPr>
              <w:jc w:val="both"/>
              <w:rPr>
                <w:b/>
                <w:bCs/>
                <w:i/>
                <w:iCs/>
                <w:color w:val="222222"/>
                <w:sz w:val="19"/>
                <w:szCs w:val="19"/>
              </w:rPr>
            </w:pPr>
            <w:r>
              <w:rPr>
                <w:b/>
                <w:bCs/>
                <w:i/>
                <w:iCs/>
                <w:color w:val="222222"/>
                <w:sz w:val="19"/>
                <w:szCs w:val="19"/>
              </w:rPr>
              <w:t>Diseño metodológico</w:t>
            </w:r>
          </w:p>
        </w:tc>
        <w:tc>
          <w:tcPr>
            <w:tcW w:w="540" w:type="dxa"/>
            <w:tcBorders>
              <w:top w:val="single" w:sz="8" w:space="0" w:color="FFFFFF"/>
              <w:bottom w:val="single" w:sz="8" w:space="0" w:color="000000"/>
              <w:right w:val="single" w:sz="8" w:space="0" w:color="FFFFFF"/>
            </w:tcBorders>
            <w:tcMar>
              <w:top w:w="100" w:type="dxa"/>
              <w:left w:w="100" w:type="dxa"/>
              <w:bottom w:w="100" w:type="dxa"/>
              <w:right w:w="100" w:type="dxa"/>
            </w:tcMar>
            <w:vAlign w:val="bottom"/>
          </w:tcPr>
          <w:p w14:paraId="18611EF3" w14:textId="77777777" w:rsidR="00020AE8" w:rsidRDefault="00000000">
            <w:pPr>
              <w:jc w:val="both"/>
              <w:rPr>
                <w:b/>
                <w:bCs/>
                <w:i/>
                <w:iCs/>
                <w:color w:val="222222"/>
                <w:sz w:val="19"/>
                <w:szCs w:val="19"/>
              </w:rPr>
            </w:pPr>
            <w:r>
              <w:rPr>
                <w:b/>
                <w:bCs/>
                <w:i/>
                <w:iCs/>
                <w:color w:val="222222"/>
                <w:sz w:val="19"/>
                <w:szCs w:val="19"/>
              </w:rPr>
              <w:t>n</w:t>
            </w:r>
          </w:p>
        </w:tc>
      </w:tr>
      <w:tr w:rsidR="00020AE8" w14:paraId="2B4A7061" w14:textId="77777777">
        <w:trPr>
          <w:trHeight w:val="1635"/>
        </w:trPr>
        <w:tc>
          <w:tcPr>
            <w:tcW w:w="156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7F4B7991" w14:textId="77777777" w:rsidR="00020AE8" w:rsidRDefault="00000000">
            <w:pPr>
              <w:spacing w:line="232" w:lineRule="auto"/>
              <w:jc w:val="both"/>
              <w:rPr>
                <w:color w:val="222222"/>
                <w:sz w:val="19"/>
                <w:szCs w:val="19"/>
              </w:rPr>
            </w:pPr>
            <w:r>
              <w:rPr>
                <w:color w:val="222222"/>
                <w:sz w:val="19"/>
                <w:szCs w:val="19"/>
              </w:rPr>
              <w:t>Tema 1. La desregulación emocional como factor de riesgo consistente, aunque no suficiente</w:t>
            </w:r>
          </w:p>
        </w:tc>
        <w:tc>
          <w:tcPr>
            <w:tcW w:w="2595" w:type="dxa"/>
            <w:tcBorders>
              <w:bottom w:val="single" w:sz="8" w:space="0" w:color="FFFFFF"/>
              <w:right w:val="single" w:sz="8" w:space="0" w:color="FFFFFF"/>
            </w:tcBorders>
            <w:tcMar>
              <w:top w:w="100" w:type="dxa"/>
              <w:left w:w="100" w:type="dxa"/>
              <w:bottom w:w="100" w:type="dxa"/>
              <w:right w:w="100" w:type="dxa"/>
            </w:tcMar>
          </w:tcPr>
          <w:p w14:paraId="0D83AE75" w14:textId="77777777" w:rsidR="00020AE8" w:rsidRDefault="00000000">
            <w:pPr>
              <w:spacing w:line="232" w:lineRule="auto"/>
              <w:jc w:val="both"/>
              <w:rPr>
                <w:color w:val="222222"/>
                <w:sz w:val="19"/>
                <w:szCs w:val="19"/>
              </w:rPr>
            </w:pPr>
            <w:r>
              <w:rPr>
                <w:color w:val="222222"/>
                <w:sz w:val="19"/>
                <w:szCs w:val="19"/>
              </w:rPr>
              <w:t>La asociación entre desregulación emocional y VFP aparece en la práctica totalidad del corpus, a través de proxies y contextos heterogéneos, siempre dentro de modelos multifactoriales.</w:t>
            </w:r>
          </w:p>
        </w:tc>
        <w:tc>
          <w:tcPr>
            <w:tcW w:w="3150" w:type="dxa"/>
            <w:tcBorders>
              <w:bottom w:val="single" w:sz="8" w:space="0" w:color="FFFFFF"/>
              <w:right w:val="single" w:sz="8" w:space="0" w:color="FFFFFF"/>
            </w:tcBorders>
            <w:tcMar>
              <w:top w:w="100" w:type="dxa"/>
              <w:left w:w="100" w:type="dxa"/>
              <w:bottom w:w="100" w:type="dxa"/>
              <w:right w:w="100" w:type="dxa"/>
            </w:tcMar>
          </w:tcPr>
          <w:p w14:paraId="0FC87EDF" w14:textId="77777777" w:rsidR="00020AE8" w:rsidRDefault="00000000">
            <w:pPr>
              <w:spacing w:line="232" w:lineRule="auto"/>
              <w:jc w:val="both"/>
              <w:rPr>
                <w:color w:val="222222"/>
                <w:sz w:val="19"/>
                <w:szCs w:val="19"/>
              </w:rPr>
            </w:pPr>
            <w:r>
              <w:rPr>
                <w:color w:val="222222"/>
                <w:sz w:val="19"/>
                <w:szCs w:val="19"/>
              </w:rPr>
              <w:t>La transversalidad del hallazgo —más que la magnitud de un coeficiente puntual— sugiere que la asociación no depende de un instrumento o muestra en particular, aunque no opera como causa única.</w:t>
            </w:r>
          </w:p>
        </w:tc>
        <w:tc>
          <w:tcPr>
            <w:tcW w:w="2145" w:type="dxa"/>
            <w:tcBorders>
              <w:bottom w:val="single" w:sz="8" w:space="0" w:color="FFFFFF"/>
              <w:right w:val="single" w:sz="8" w:space="0" w:color="FFFFFF"/>
            </w:tcBorders>
            <w:tcMar>
              <w:top w:w="100" w:type="dxa"/>
              <w:left w:w="100" w:type="dxa"/>
              <w:bottom w:w="100" w:type="dxa"/>
              <w:right w:w="100" w:type="dxa"/>
            </w:tcMar>
          </w:tcPr>
          <w:p w14:paraId="19B7E59D" w14:textId="77777777" w:rsidR="00020AE8" w:rsidRDefault="00000000">
            <w:pPr>
              <w:spacing w:line="232" w:lineRule="auto"/>
              <w:jc w:val="both"/>
              <w:rPr>
                <w:color w:val="222222"/>
                <w:sz w:val="19"/>
                <w:szCs w:val="19"/>
              </w:rPr>
            </w:pPr>
            <w:r>
              <w:rPr>
                <w:color w:val="222222"/>
                <w:sz w:val="19"/>
                <w:szCs w:val="19"/>
              </w:rPr>
              <w:t>Transversal (4); caso-control (2); longitudinal (1)</w:t>
            </w:r>
          </w:p>
        </w:tc>
        <w:tc>
          <w:tcPr>
            <w:tcW w:w="540" w:type="dxa"/>
            <w:tcBorders>
              <w:bottom w:val="single" w:sz="8" w:space="0" w:color="FFFFFF"/>
              <w:right w:val="single" w:sz="8" w:space="0" w:color="FFFFFF"/>
            </w:tcBorders>
            <w:tcMar>
              <w:top w:w="100" w:type="dxa"/>
              <w:left w:w="100" w:type="dxa"/>
              <w:bottom w:w="100" w:type="dxa"/>
              <w:right w:w="100" w:type="dxa"/>
            </w:tcMar>
          </w:tcPr>
          <w:p w14:paraId="3EF07F24" w14:textId="77777777" w:rsidR="00020AE8" w:rsidRDefault="00000000">
            <w:pPr>
              <w:spacing w:line="232" w:lineRule="auto"/>
              <w:jc w:val="both"/>
              <w:rPr>
                <w:color w:val="222222"/>
                <w:sz w:val="19"/>
                <w:szCs w:val="19"/>
              </w:rPr>
            </w:pPr>
            <w:r>
              <w:rPr>
                <w:color w:val="222222"/>
                <w:sz w:val="19"/>
                <w:szCs w:val="19"/>
              </w:rPr>
              <w:t>7</w:t>
            </w:r>
          </w:p>
        </w:tc>
      </w:tr>
      <w:tr w:rsidR="00020AE8" w14:paraId="43617464" w14:textId="77777777">
        <w:trPr>
          <w:trHeight w:val="1440"/>
        </w:trPr>
        <w:tc>
          <w:tcPr>
            <w:tcW w:w="156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61C60D15" w14:textId="77777777" w:rsidR="00020AE8" w:rsidRDefault="00000000">
            <w:pPr>
              <w:spacing w:line="232" w:lineRule="auto"/>
              <w:jc w:val="both"/>
              <w:rPr>
                <w:color w:val="222222"/>
                <w:sz w:val="19"/>
                <w:szCs w:val="19"/>
              </w:rPr>
            </w:pPr>
            <w:r>
              <w:rPr>
                <w:color w:val="222222"/>
                <w:sz w:val="19"/>
                <w:szCs w:val="19"/>
              </w:rPr>
              <w:lastRenderedPageBreak/>
              <w:t>Tema 2. La impulsividad como núcleo proximal, de papel variable</w:t>
            </w:r>
          </w:p>
        </w:tc>
        <w:tc>
          <w:tcPr>
            <w:tcW w:w="2595" w:type="dxa"/>
            <w:tcBorders>
              <w:bottom w:val="single" w:sz="8" w:space="0" w:color="FFFFFF"/>
              <w:right w:val="single" w:sz="8" w:space="0" w:color="FFFFFF"/>
            </w:tcBorders>
            <w:tcMar>
              <w:top w:w="100" w:type="dxa"/>
              <w:left w:w="100" w:type="dxa"/>
              <w:bottom w:w="100" w:type="dxa"/>
              <w:right w:w="100" w:type="dxa"/>
            </w:tcMar>
          </w:tcPr>
          <w:p w14:paraId="05F0C24A" w14:textId="77777777" w:rsidR="00020AE8" w:rsidRDefault="00000000">
            <w:pPr>
              <w:spacing w:line="232" w:lineRule="auto"/>
              <w:jc w:val="both"/>
              <w:rPr>
                <w:color w:val="222222"/>
                <w:sz w:val="19"/>
                <w:szCs w:val="19"/>
              </w:rPr>
            </w:pPr>
            <w:r>
              <w:rPr>
                <w:color w:val="222222"/>
                <w:sz w:val="19"/>
                <w:szCs w:val="19"/>
              </w:rPr>
              <w:t>La impulsividad es el proxy más frecuente del corpus; opera como predictor directo, como moderador (diátesis-estrés) o como rasgo de base ubicuo en muestras forenses graves.</w:t>
            </w:r>
          </w:p>
        </w:tc>
        <w:tc>
          <w:tcPr>
            <w:tcW w:w="3150" w:type="dxa"/>
            <w:tcBorders>
              <w:bottom w:val="single" w:sz="8" w:space="0" w:color="FFFFFF"/>
              <w:right w:val="single" w:sz="8" w:space="0" w:color="FFFFFF"/>
            </w:tcBorders>
            <w:tcMar>
              <w:top w:w="100" w:type="dxa"/>
              <w:left w:w="100" w:type="dxa"/>
              <w:bottom w:w="100" w:type="dxa"/>
              <w:right w:w="100" w:type="dxa"/>
            </w:tcMar>
          </w:tcPr>
          <w:p w14:paraId="005A3454" w14:textId="77777777" w:rsidR="00020AE8" w:rsidRDefault="00000000">
            <w:pPr>
              <w:spacing w:line="232" w:lineRule="auto"/>
              <w:jc w:val="both"/>
              <w:rPr>
                <w:color w:val="222222"/>
                <w:sz w:val="19"/>
                <w:szCs w:val="19"/>
              </w:rPr>
            </w:pPr>
            <w:r>
              <w:rPr>
                <w:color w:val="222222"/>
                <w:sz w:val="19"/>
                <w:szCs w:val="19"/>
              </w:rPr>
              <w:t>Su función varía según el contexto: es necesaria para explicar la VFP, pero pierde capacidad discriminante en los cuadros más severos, donde se vuelve casi universal.</w:t>
            </w:r>
          </w:p>
        </w:tc>
        <w:tc>
          <w:tcPr>
            <w:tcW w:w="2145" w:type="dxa"/>
            <w:tcBorders>
              <w:bottom w:val="single" w:sz="8" w:space="0" w:color="FFFFFF"/>
              <w:right w:val="single" w:sz="8" w:space="0" w:color="FFFFFF"/>
            </w:tcBorders>
            <w:tcMar>
              <w:top w:w="100" w:type="dxa"/>
              <w:left w:w="100" w:type="dxa"/>
              <w:bottom w:w="100" w:type="dxa"/>
              <w:right w:w="100" w:type="dxa"/>
            </w:tcMar>
          </w:tcPr>
          <w:p w14:paraId="1F962AC6" w14:textId="77777777" w:rsidR="00020AE8" w:rsidRDefault="00000000">
            <w:pPr>
              <w:spacing w:line="232" w:lineRule="auto"/>
              <w:jc w:val="both"/>
              <w:rPr>
                <w:color w:val="222222"/>
                <w:sz w:val="19"/>
                <w:szCs w:val="19"/>
              </w:rPr>
            </w:pPr>
            <w:r>
              <w:rPr>
                <w:color w:val="222222"/>
                <w:sz w:val="19"/>
                <w:szCs w:val="19"/>
              </w:rPr>
              <w:t>Transversal (3); caso-control (2); descriptivo-comparativo (2); longitudinal (1)</w:t>
            </w:r>
          </w:p>
        </w:tc>
        <w:tc>
          <w:tcPr>
            <w:tcW w:w="540" w:type="dxa"/>
            <w:tcBorders>
              <w:bottom w:val="single" w:sz="8" w:space="0" w:color="FFFFFF"/>
              <w:right w:val="single" w:sz="8" w:space="0" w:color="FFFFFF"/>
            </w:tcBorders>
            <w:tcMar>
              <w:top w:w="100" w:type="dxa"/>
              <w:left w:w="100" w:type="dxa"/>
              <w:bottom w:w="100" w:type="dxa"/>
              <w:right w:w="100" w:type="dxa"/>
            </w:tcMar>
          </w:tcPr>
          <w:p w14:paraId="5EF3A082" w14:textId="77777777" w:rsidR="00020AE8" w:rsidRDefault="00000000">
            <w:pPr>
              <w:spacing w:line="232" w:lineRule="auto"/>
              <w:jc w:val="both"/>
              <w:rPr>
                <w:color w:val="222222"/>
                <w:sz w:val="19"/>
                <w:szCs w:val="19"/>
              </w:rPr>
            </w:pPr>
            <w:r>
              <w:rPr>
                <w:color w:val="222222"/>
                <w:sz w:val="19"/>
                <w:szCs w:val="19"/>
              </w:rPr>
              <w:t>8</w:t>
            </w:r>
          </w:p>
        </w:tc>
      </w:tr>
      <w:tr w:rsidR="00020AE8" w14:paraId="67D8CF46" w14:textId="77777777">
        <w:trPr>
          <w:trHeight w:val="1440"/>
        </w:trPr>
        <w:tc>
          <w:tcPr>
            <w:tcW w:w="156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0CBB0004" w14:textId="77777777" w:rsidR="00020AE8" w:rsidRDefault="00000000">
            <w:pPr>
              <w:spacing w:line="232" w:lineRule="auto"/>
              <w:jc w:val="both"/>
              <w:rPr>
                <w:color w:val="222222"/>
                <w:sz w:val="19"/>
                <w:szCs w:val="19"/>
              </w:rPr>
            </w:pPr>
            <w:r>
              <w:rPr>
                <w:color w:val="222222"/>
                <w:sz w:val="19"/>
                <w:szCs w:val="19"/>
              </w:rPr>
              <w:t>Tema 3. La ira y la activación emocional reactiva: especificidad con la VFP reactiva</w:t>
            </w:r>
          </w:p>
        </w:tc>
        <w:tc>
          <w:tcPr>
            <w:tcW w:w="2595" w:type="dxa"/>
            <w:tcBorders>
              <w:bottom w:val="single" w:sz="8" w:space="0" w:color="FFFFFF"/>
              <w:right w:val="single" w:sz="8" w:space="0" w:color="FFFFFF"/>
            </w:tcBorders>
            <w:tcMar>
              <w:top w:w="100" w:type="dxa"/>
              <w:left w:w="100" w:type="dxa"/>
              <w:bottom w:w="100" w:type="dxa"/>
              <w:right w:w="100" w:type="dxa"/>
            </w:tcMar>
          </w:tcPr>
          <w:p w14:paraId="7CFC4B34" w14:textId="77777777" w:rsidR="00020AE8" w:rsidRDefault="00000000">
            <w:pPr>
              <w:spacing w:line="232" w:lineRule="auto"/>
              <w:jc w:val="both"/>
              <w:rPr>
                <w:color w:val="222222"/>
                <w:sz w:val="19"/>
                <w:szCs w:val="19"/>
              </w:rPr>
            </w:pPr>
            <w:r>
              <w:rPr>
                <w:color w:val="222222"/>
                <w:sz w:val="19"/>
                <w:szCs w:val="19"/>
              </w:rPr>
              <w:t>La ira se asocia específicamente con la VFP de tipo reactivo, no con la instrumental, y este efecto se canaliza a través del procesamiento socio-cognitivo.</w:t>
            </w:r>
          </w:p>
        </w:tc>
        <w:tc>
          <w:tcPr>
            <w:tcW w:w="3150" w:type="dxa"/>
            <w:tcBorders>
              <w:bottom w:val="single" w:sz="8" w:space="0" w:color="FFFFFF"/>
              <w:right w:val="single" w:sz="8" w:space="0" w:color="FFFFFF"/>
            </w:tcBorders>
            <w:tcMar>
              <w:top w:w="100" w:type="dxa"/>
              <w:left w:w="100" w:type="dxa"/>
              <w:bottom w:w="100" w:type="dxa"/>
              <w:right w:w="100" w:type="dxa"/>
            </w:tcMar>
          </w:tcPr>
          <w:p w14:paraId="75DDFB1B" w14:textId="77777777" w:rsidR="00020AE8" w:rsidRDefault="00000000">
            <w:pPr>
              <w:spacing w:line="232" w:lineRule="auto"/>
              <w:jc w:val="both"/>
              <w:rPr>
                <w:color w:val="222222"/>
                <w:sz w:val="19"/>
                <w:szCs w:val="19"/>
              </w:rPr>
            </w:pPr>
            <w:r>
              <w:rPr>
                <w:color w:val="222222"/>
                <w:sz w:val="19"/>
                <w:szCs w:val="19"/>
              </w:rPr>
              <w:t>La emoción no actuaría de manera independiente de la cognición social: la ira activaría la respuesta, pero sería la interpretación hostil de la situación la que conduce al acto.</w:t>
            </w:r>
          </w:p>
        </w:tc>
        <w:tc>
          <w:tcPr>
            <w:tcW w:w="2145" w:type="dxa"/>
            <w:tcBorders>
              <w:bottom w:val="single" w:sz="8" w:space="0" w:color="FFFFFF"/>
              <w:right w:val="single" w:sz="8" w:space="0" w:color="FFFFFF"/>
            </w:tcBorders>
            <w:tcMar>
              <w:top w:w="100" w:type="dxa"/>
              <w:left w:w="100" w:type="dxa"/>
              <w:bottom w:w="100" w:type="dxa"/>
              <w:right w:w="100" w:type="dxa"/>
            </w:tcMar>
          </w:tcPr>
          <w:p w14:paraId="5FF72654" w14:textId="77777777" w:rsidR="00020AE8" w:rsidRDefault="00000000">
            <w:pPr>
              <w:spacing w:line="232" w:lineRule="auto"/>
              <w:jc w:val="both"/>
              <w:rPr>
                <w:color w:val="222222"/>
                <w:sz w:val="19"/>
                <w:szCs w:val="19"/>
              </w:rPr>
            </w:pPr>
            <w:r>
              <w:rPr>
                <w:color w:val="222222"/>
                <w:sz w:val="19"/>
                <w:szCs w:val="19"/>
              </w:rPr>
              <w:t>Transversal correlacional (5), predominantemente con modelado de ecuaciones estructurales</w:t>
            </w:r>
          </w:p>
        </w:tc>
        <w:tc>
          <w:tcPr>
            <w:tcW w:w="540" w:type="dxa"/>
            <w:tcBorders>
              <w:bottom w:val="single" w:sz="8" w:space="0" w:color="FFFFFF"/>
              <w:right w:val="single" w:sz="8" w:space="0" w:color="FFFFFF"/>
            </w:tcBorders>
            <w:tcMar>
              <w:top w:w="100" w:type="dxa"/>
              <w:left w:w="100" w:type="dxa"/>
              <w:bottom w:w="100" w:type="dxa"/>
              <w:right w:w="100" w:type="dxa"/>
            </w:tcMar>
          </w:tcPr>
          <w:p w14:paraId="27865788" w14:textId="77777777" w:rsidR="00020AE8" w:rsidRDefault="00000000">
            <w:pPr>
              <w:spacing w:line="232" w:lineRule="auto"/>
              <w:jc w:val="both"/>
              <w:rPr>
                <w:color w:val="222222"/>
                <w:sz w:val="19"/>
                <w:szCs w:val="19"/>
              </w:rPr>
            </w:pPr>
            <w:r>
              <w:rPr>
                <w:color w:val="222222"/>
                <w:sz w:val="19"/>
                <w:szCs w:val="19"/>
              </w:rPr>
              <w:t>5</w:t>
            </w:r>
          </w:p>
        </w:tc>
      </w:tr>
      <w:tr w:rsidR="00020AE8" w14:paraId="388ABFED" w14:textId="77777777">
        <w:trPr>
          <w:trHeight w:val="1440"/>
        </w:trPr>
        <w:tc>
          <w:tcPr>
            <w:tcW w:w="156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0394AC97" w14:textId="77777777" w:rsidR="00020AE8" w:rsidRDefault="00000000">
            <w:pPr>
              <w:spacing w:line="232" w:lineRule="auto"/>
              <w:jc w:val="both"/>
              <w:rPr>
                <w:color w:val="222222"/>
                <w:sz w:val="19"/>
                <w:szCs w:val="19"/>
              </w:rPr>
            </w:pPr>
            <w:r>
              <w:rPr>
                <w:color w:val="222222"/>
                <w:sz w:val="19"/>
                <w:szCs w:val="19"/>
              </w:rPr>
              <w:t>Tema 4. La modulación por el género: una vía emocional más marcada en las mujeres</w:t>
            </w:r>
          </w:p>
        </w:tc>
        <w:tc>
          <w:tcPr>
            <w:tcW w:w="2595" w:type="dxa"/>
            <w:tcBorders>
              <w:bottom w:val="single" w:sz="8" w:space="0" w:color="FFFFFF"/>
              <w:right w:val="single" w:sz="8" w:space="0" w:color="FFFFFF"/>
            </w:tcBorders>
            <w:tcMar>
              <w:top w:w="100" w:type="dxa"/>
              <w:left w:w="100" w:type="dxa"/>
              <w:bottom w:w="100" w:type="dxa"/>
              <w:right w:w="100" w:type="dxa"/>
            </w:tcMar>
          </w:tcPr>
          <w:p w14:paraId="79ADCF81" w14:textId="77777777" w:rsidR="00020AE8" w:rsidRDefault="00000000">
            <w:pPr>
              <w:spacing w:line="232" w:lineRule="auto"/>
              <w:jc w:val="both"/>
              <w:rPr>
                <w:color w:val="222222"/>
                <w:sz w:val="19"/>
                <w:szCs w:val="19"/>
              </w:rPr>
            </w:pPr>
            <w:r>
              <w:rPr>
                <w:color w:val="222222"/>
                <w:sz w:val="19"/>
                <w:szCs w:val="19"/>
              </w:rPr>
              <w:t>Las variables emocionales (alexitimia, inestabilidad emocional, ira) pesan más en las adolescentes mujeres, mientras que en los varones predomina la escalada conductual.</w:t>
            </w:r>
          </w:p>
        </w:tc>
        <w:tc>
          <w:tcPr>
            <w:tcW w:w="3150" w:type="dxa"/>
            <w:tcBorders>
              <w:bottom w:val="single" w:sz="8" w:space="0" w:color="FFFFFF"/>
              <w:right w:val="single" w:sz="8" w:space="0" w:color="FFFFFF"/>
            </w:tcBorders>
            <w:tcMar>
              <w:top w:w="100" w:type="dxa"/>
              <w:left w:w="100" w:type="dxa"/>
              <w:bottom w:w="100" w:type="dxa"/>
              <w:right w:w="100" w:type="dxa"/>
            </w:tcMar>
          </w:tcPr>
          <w:p w14:paraId="1BFE7FFA" w14:textId="77777777" w:rsidR="00020AE8" w:rsidRDefault="00000000">
            <w:pPr>
              <w:spacing w:line="232" w:lineRule="auto"/>
              <w:jc w:val="both"/>
              <w:rPr>
                <w:color w:val="222222"/>
                <w:sz w:val="19"/>
                <w:szCs w:val="19"/>
              </w:rPr>
            </w:pPr>
            <w:r>
              <w:rPr>
                <w:color w:val="222222"/>
                <w:sz w:val="19"/>
                <w:szCs w:val="19"/>
              </w:rPr>
              <w:t>El género modularía menos el nivel de desregulación en sí que la vía por la cual esta se expresa.</w:t>
            </w:r>
          </w:p>
        </w:tc>
        <w:tc>
          <w:tcPr>
            <w:tcW w:w="2145" w:type="dxa"/>
            <w:tcBorders>
              <w:bottom w:val="single" w:sz="8" w:space="0" w:color="FFFFFF"/>
              <w:right w:val="single" w:sz="8" w:space="0" w:color="FFFFFF"/>
            </w:tcBorders>
            <w:tcMar>
              <w:top w:w="100" w:type="dxa"/>
              <w:left w:w="100" w:type="dxa"/>
              <w:bottom w:w="100" w:type="dxa"/>
              <w:right w:w="100" w:type="dxa"/>
            </w:tcMar>
          </w:tcPr>
          <w:p w14:paraId="0D8053E5" w14:textId="77777777" w:rsidR="00020AE8" w:rsidRDefault="00000000">
            <w:pPr>
              <w:spacing w:line="232" w:lineRule="auto"/>
              <w:jc w:val="both"/>
              <w:rPr>
                <w:color w:val="222222"/>
                <w:sz w:val="19"/>
                <w:szCs w:val="19"/>
              </w:rPr>
            </w:pPr>
            <w:r>
              <w:rPr>
                <w:color w:val="222222"/>
                <w:sz w:val="19"/>
                <w:szCs w:val="19"/>
              </w:rPr>
              <w:t>Transversal (5); descriptivo-comparativo (1)</w:t>
            </w:r>
          </w:p>
        </w:tc>
        <w:tc>
          <w:tcPr>
            <w:tcW w:w="540" w:type="dxa"/>
            <w:tcBorders>
              <w:bottom w:val="single" w:sz="8" w:space="0" w:color="FFFFFF"/>
              <w:right w:val="single" w:sz="8" w:space="0" w:color="FFFFFF"/>
            </w:tcBorders>
            <w:tcMar>
              <w:top w:w="100" w:type="dxa"/>
              <w:left w:w="100" w:type="dxa"/>
              <w:bottom w:w="100" w:type="dxa"/>
              <w:right w:w="100" w:type="dxa"/>
            </w:tcMar>
          </w:tcPr>
          <w:p w14:paraId="0F1F22E7" w14:textId="77777777" w:rsidR="00020AE8" w:rsidRDefault="00000000">
            <w:pPr>
              <w:spacing w:line="232" w:lineRule="auto"/>
              <w:jc w:val="both"/>
              <w:rPr>
                <w:color w:val="222222"/>
                <w:sz w:val="19"/>
                <w:szCs w:val="19"/>
              </w:rPr>
            </w:pPr>
            <w:r>
              <w:rPr>
                <w:color w:val="222222"/>
                <w:sz w:val="19"/>
                <w:szCs w:val="19"/>
              </w:rPr>
              <w:t>6</w:t>
            </w:r>
          </w:p>
        </w:tc>
      </w:tr>
      <w:tr w:rsidR="00020AE8" w14:paraId="7CDB5335" w14:textId="77777777">
        <w:trPr>
          <w:trHeight w:val="1440"/>
        </w:trPr>
        <w:tc>
          <w:tcPr>
            <w:tcW w:w="156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3DF1AFEE" w14:textId="77777777" w:rsidR="00020AE8" w:rsidRDefault="00000000">
            <w:pPr>
              <w:spacing w:line="232" w:lineRule="auto"/>
              <w:jc w:val="both"/>
              <w:rPr>
                <w:color w:val="222222"/>
                <w:sz w:val="19"/>
                <w:szCs w:val="19"/>
              </w:rPr>
            </w:pPr>
            <w:r>
              <w:rPr>
                <w:color w:val="222222"/>
                <w:sz w:val="19"/>
                <w:szCs w:val="19"/>
              </w:rPr>
              <w:t>Tema 5. La desregulación inserta en cadenas multifactoriales: parentalidad, trauma y cognición</w:t>
            </w:r>
          </w:p>
        </w:tc>
        <w:tc>
          <w:tcPr>
            <w:tcW w:w="2595" w:type="dxa"/>
            <w:tcBorders>
              <w:bottom w:val="single" w:sz="8" w:space="0" w:color="FFFFFF"/>
              <w:right w:val="single" w:sz="8" w:space="0" w:color="FFFFFF"/>
            </w:tcBorders>
            <w:tcMar>
              <w:top w:w="100" w:type="dxa"/>
              <w:left w:w="100" w:type="dxa"/>
              <w:bottom w:w="100" w:type="dxa"/>
              <w:right w:w="100" w:type="dxa"/>
            </w:tcMar>
          </w:tcPr>
          <w:p w14:paraId="7BF70637" w14:textId="77777777" w:rsidR="00020AE8" w:rsidRDefault="00000000">
            <w:pPr>
              <w:spacing w:line="232" w:lineRule="auto"/>
              <w:jc w:val="both"/>
              <w:rPr>
                <w:color w:val="222222"/>
                <w:sz w:val="19"/>
                <w:szCs w:val="19"/>
              </w:rPr>
            </w:pPr>
            <w:r>
              <w:rPr>
                <w:color w:val="222222"/>
                <w:sz w:val="19"/>
                <w:szCs w:val="19"/>
              </w:rPr>
              <w:t>La desregulación se encadena con los estilos parentales y la disciplina, con la exposición a la violencia y el trauma, y con la desconexión moral.</w:t>
            </w:r>
          </w:p>
        </w:tc>
        <w:tc>
          <w:tcPr>
            <w:tcW w:w="3150" w:type="dxa"/>
            <w:tcBorders>
              <w:bottom w:val="single" w:sz="8" w:space="0" w:color="FFFFFF"/>
              <w:right w:val="single" w:sz="8" w:space="0" w:color="FFFFFF"/>
            </w:tcBorders>
            <w:tcMar>
              <w:top w:w="100" w:type="dxa"/>
              <w:left w:w="100" w:type="dxa"/>
              <w:bottom w:w="100" w:type="dxa"/>
              <w:right w:w="100" w:type="dxa"/>
            </w:tcMar>
          </w:tcPr>
          <w:p w14:paraId="4EB65421" w14:textId="77777777" w:rsidR="00020AE8" w:rsidRDefault="00000000">
            <w:pPr>
              <w:spacing w:line="232" w:lineRule="auto"/>
              <w:jc w:val="both"/>
              <w:rPr>
                <w:color w:val="222222"/>
                <w:sz w:val="19"/>
                <w:szCs w:val="19"/>
              </w:rPr>
            </w:pPr>
            <w:r>
              <w:rPr>
                <w:color w:val="222222"/>
                <w:sz w:val="19"/>
                <w:szCs w:val="19"/>
              </w:rPr>
              <w:t>Estos encadenamientos deben leerse como hipótesis mecanicistas plausibles, no como secuencias causales demostradas, dado el predominio de diseños transversales.</w:t>
            </w:r>
          </w:p>
        </w:tc>
        <w:tc>
          <w:tcPr>
            <w:tcW w:w="2145" w:type="dxa"/>
            <w:tcBorders>
              <w:bottom w:val="single" w:sz="8" w:space="0" w:color="FFFFFF"/>
              <w:right w:val="single" w:sz="8" w:space="0" w:color="FFFFFF"/>
            </w:tcBorders>
            <w:tcMar>
              <w:top w:w="100" w:type="dxa"/>
              <w:left w:w="100" w:type="dxa"/>
              <w:bottom w:w="100" w:type="dxa"/>
              <w:right w:w="100" w:type="dxa"/>
            </w:tcMar>
          </w:tcPr>
          <w:p w14:paraId="43C66269" w14:textId="77777777" w:rsidR="00020AE8" w:rsidRDefault="00000000">
            <w:pPr>
              <w:spacing w:line="232" w:lineRule="auto"/>
              <w:jc w:val="both"/>
              <w:rPr>
                <w:color w:val="222222"/>
                <w:sz w:val="19"/>
                <w:szCs w:val="19"/>
              </w:rPr>
            </w:pPr>
            <w:r>
              <w:rPr>
                <w:color w:val="222222"/>
                <w:sz w:val="19"/>
                <w:szCs w:val="19"/>
              </w:rPr>
              <w:t>Transversal (5); longitudinal (2); cualitativo (2)</w:t>
            </w:r>
          </w:p>
        </w:tc>
        <w:tc>
          <w:tcPr>
            <w:tcW w:w="540" w:type="dxa"/>
            <w:tcBorders>
              <w:bottom w:val="single" w:sz="8" w:space="0" w:color="FFFFFF"/>
              <w:right w:val="single" w:sz="8" w:space="0" w:color="FFFFFF"/>
            </w:tcBorders>
            <w:tcMar>
              <w:top w:w="100" w:type="dxa"/>
              <w:left w:w="100" w:type="dxa"/>
              <w:bottom w:w="100" w:type="dxa"/>
              <w:right w:w="100" w:type="dxa"/>
            </w:tcMar>
          </w:tcPr>
          <w:p w14:paraId="2CBA299E" w14:textId="77777777" w:rsidR="00020AE8" w:rsidRDefault="00000000">
            <w:pPr>
              <w:spacing w:line="232" w:lineRule="auto"/>
              <w:jc w:val="both"/>
              <w:rPr>
                <w:color w:val="222222"/>
                <w:sz w:val="19"/>
                <w:szCs w:val="19"/>
              </w:rPr>
            </w:pPr>
            <w:r>
              <w:rPr>
                <w:color w:val="222222"/>
                <w:sz w:val="19"/>
                <w:szCs w:val="19"/>
              </w:rPr>
              <w:t>9</w:t>
            </w:r>
          </w:p>
        </w:tc>
      </w:tr>
      <w:tr w:rsidR="00020AE8" w14:paraId="44602A44" w14:textId="77777777">
        <w:trPr>
          <w:trHeight w:val="1635"/>
        </w:trPr>
        <w:tc>
          <w:tcPr>
            <w:tcW w:w="1560" w:type="dxa"/>
            <w:tcBorders>
              <w:left w:val="single" w:sz="8" w:space="0" w:color="FFFFFF"/>
              <w:bottom w:val="single" w:sz="8" w:space="0" w:color="000000"/>
              <w:right w:val="single" w:sz="8" w:space="0" w:color="FFFFFF"/>
            </w:tcBorders>
            <w:tcMar>
              <w:top w:w="100" w:type="dxa"/>
              <w:left w:w="100" w:type="dxa"/>
              <w:bottom w:w="100" w:type="dxa"/>
              <w:right w:w="100" w:type="dxa"/>
            </w:tcMar>
          </w:tcPr>
          <w:p w14:paraId="05141D08" w14:textId="77777777" w:rsidR="00020AE8" w:rsidRDefault="00000000">
            <w:pPr>
              <w:spacing w:line="232" w:lineRule="auto"/>
              <w:jc w:val="both"/>
              <w:rPr>
                <w:color w:val="222222"/>
                <w:sz w:val="19"/>
                <w:szCs w:val="19"/>
              </w:rPr>
            </w:pPr>
            <w:r>
              <w:rPr>
                <w:color w:val="222222"/>
                <w:sz w:val="19"/>
                <w:szCs w:val="19"/>
              </w:rPr>
              <w:t>Tema 6. Alcances y límites de la evidencia (categoría transversal)</w:t>
            </w:r>
          </w:p>
        </w:tc>
        <w:tc>
          <w:tcPr>
            <w:tcW w:w="2595" w:type="dxa"/>
            <w:tcBorders>
              <w:bottom w:val="single" w:sz="8" w:space="0" w:color="000000"/>
              <w:right w:val="single" w:sz="8" w:space="0" w:color="FFFFFF"/>
            </w:tcBorders>
            <w:tcMar>
              <w:top w:w="100" w:type="dxa"/>
              <w:left w:w="100" w:type="dxa"/>
              <w:bottom w:w="100" w:type="dxa"/>
              <w:right w:w="100" w:type="dxa"/>
            </w:tcMar>
          </w:tcPr>
          <w:p w14:paraId="6FAA6A49" w14:textId="77777777" w:rsidR="00020AE8" w:rsidRDefault="00000000">
            <w:pPr>
              <w:spacing w:line="232" w:lineRule="auto"/>
              <w:jc w:val="both"/>
              <w:rPr>
                <w:color w:val="222222"/>
                <w:sz w:val="19"/>
                <w:szCs w:val="19"/>
              </w:rPr>
            </w:pPr>
            <w:r>
              <w:rPr>
                <w:color w:val="222222"/>
                <w:sz w:val="19"/>
                <w:szCs w:val="19"/>
              </w:rPr>
              <w:t>El predominio de diseños transversales y de autoinforme, la heterogeneidad de los proxies y una calidad metodológica mayoritariamente moderada (12 de 18 estudios) delimitan el alcance de las conclusiones.</w:t>
            </w:r>
          </w:p>
        </w:tc>
        <w:tc>
          <w:tcPr>
            <w:tcW w:w="3150" w:type="dxa"/>
            <w:tcBorders>
              <w:bottom w:val="single" w:sz="8" w:space="0" w:color="000000"/>
              <w:right w:val="single" w:sz="8" w:space="0" w:color="FFFFFF"/>
            </w:tcBorders>
            <w:tcMar>
              <w:top w:w="100" w:type="dxa"/>
              <w:left w:w="100" w:type="dxa"/>
              <w:bottom w:w="100" w:type="dxa"/>
              <w:right w:w="100" w:type="dxa"/>
            </w:tcMar>
          </w:tcPr>
          <w:p w14:paraId="77BC5D11" w14:textId="77777777" w:rsidR="00020AE8" w:rsidRDefault="00000000">
            <w:pPr>
              <w:spacing w:line="232" w:lineRule="auto"/>
              <w:jc w:val="both"/>
              <w:rPr>
                <w:color w:val="222222"/>
                <w:sz w:val="19"/>
                <w:szCs w:val="19"/>
              </w:rPr>
            </w:pPr>
            <w:r>
              <w:rPr>
                <w:color w:val="222222"/>
                <w:sz w:val="19"/>
                <w:szCs w:val="19"/>
              </w:rPr>
              <w:t>Solo la cohorte prospectiva de Bechtiger et al. (2026) permite establecer la secuencia temporal con solidez; el resto de la evidencia debe leerse como asociación, no como causalidad.</w:t>
            </w:r>
          </w:p>
        </w:tc>
        <w:tc>
          <w:tcPr>
            <w:tcW w:w="2145" w:type="dxa"/>
            <w:tcBorders>
              <w:bottom w:val="single" w:sz="8" w:space="0" w:color="000000"/>
              <w:right w:val="single" w:sz="8" w:space="0" w:color="FFFFFF"/>
            </w:tcBorders>
            <w:tcMar>
              <w:top w:w="100" w:type="dxa"/>
              <w:left w:w="100" w:type="dxa"/>
              <w:bottom w:w="100" w:type="dxa"/>
              <w:right w:w="100" w:type="dxa"/>
            </w:tcMar>
          </w:tcPr>
          <w:p w14:paraId="104B3A68" w14:textId="77777777" w:rsidR="00020AE8" w:rsidRDefault="00000000">
            <w:pPr>
              <w:spacing w:line="232" w:lineRule="auto"/>
              <w:jc w:val="both"/>
              <w:rPr>
                <w:color w:val="222222"/>
                <w:sz w:val="19"/>
                <w:szCs w:val="19"/>
              </w:rPr>
            </w:pPr>
            <w:r>
              <w:rPr>
                <w:color w:val="222222"/>
                <w:sz w:val="19"/>
                <w:szCs w:val="19"/>
              </w:rPr>
              <w:t>Transversal (12); caso-control (2); longitudinal (2); cualitativo (2)</w:t>
            </w:r>
          </w:p>
        </w:tc>
        <w:tc>
          <w:tcPr>
            <w:tcW w:w="540" w:type="dxa"/>
            <w:tcBorders>
              <w:bottom w:val="single" w:sz="8" w:space="0" w:color="000000"/>
              <w:right w:val="single" w:sz="8" w:space="0" w:color="FFFFFF"/>
            </w:tcBorders>
            <w:tcMar>
              <w:top w:w="100" w:type="dxa"/>
              <w:left w:w="100" w:type="dxa"/>
              <w:bottom w:w="100" w:type="dxa"/>
              <w:right w:w="100" w:type="dxa"/>
            </w:tcMar>
          </w:tcPr>
          <w:p w14:paraId="310C6A8B" w14:textId="77777777" w:rsidR="00020AE8" w:rsidRDefault="00000000">
            <w:pPr>
              <w:spacing w:line="232" w:lineRule="auto"/>
              <w:jc w:val="both"/>
              <w:rPr>
                <w:color w:val="222222"/>
                <w:sz w:val="19"/>
                <w:szCs w:val="19"/>
              </w:rPr>
            </w:pPr>
            <w:r>
              <w:rPr>
                <w:color w:val="222222"/>
                <w:sz w:val="19"/>
                <w:szCs w:val="19"/>
              </w:rPr>
              <w:t>18</w:t>
            </w:r>
          </w:p>
        </w:tc>
      </w:tr>
    </w:tbl>
    <w:p w14:paraId="38424F64" w14:textId="77777777" w:rsidR="00020AE8" w:rsidRDefault="00000000">
      <w:pPr>
        <w:spacing w:before="160"/>
        <w:ind w:left="-283" w:right="-562"/>
        <w:jc w:val="both"/>
        <w:rPr>
          <w:color w:val="222222"/>
          <w:sz w:val="19"/>
          <w:szCs w:val="19"/>
        </w:rPr>
      </w:pPr>
      <w:r>
        <w:rPr>
          <w:i/>
          <w:iCs/>
          <w:color w:val="222222"/>
          <w:sz w:val="19"/>
          <w:szCs w:val="19"/>
        </w:rPr>
        <w:t xml:space="preserve">Nota. </w:t>
      </w:r>
      <w:r>
        <w:rPr>
          <w:color w:val="222222"/>
          <w:sz w:val="19"/>
          <w:szCs w:val="19"/>
        </w:rPr>
        <w:t>N = 18 estudios incluidos en la revisión. La categorización temática sigue el análisis de Braun y Clarke (2006), conforme a PRISMA 2020 (Page et al., 2021). La frecuencia (n) indica la cantidad de estudios que aportan evidencia a cada categoría; dado que un mismo estudio puede sostener más de una categoría temática, los valores no son mutuamente excluyentes y no suman 18 (excepto en el Tema 6, que es transversal a todo el corpus). La columna de diseño metodológico describe los diseños de los estudios que sostienen cada categoría específica, no necesariamente del corpus completo. Loinaz, Barboni y Ma-de-Sousa (2020) y Loinaz y de Sousa (2020) comparten una muestra base de aproximadamente 91 casos y deben tratarse como dependientes, no independientes, al interpretar la frecuencia del Tema 2.</w:t>
      </w:r>
    </w:p>
    <w:p w14:paraId="62EC7D40" w14:textId="77777777" w:rsidR="00020AE8" w:rsidRDefault="00020AE8">
      <w:pPr>
        <w:spacing w:before="160"/>
        <w:jc w:val="both"/>
        <w:rPr>
          <w:color w:val="222222"/>
          <w:sz w:val="19"/>
          <w:szCs w:val="19"/>
        </w:rPr>
      </w:pPr>
    </w:p>
    <w:p w14:paraId="258DFCDC" w14:textId="77777777" w:rsidR="00020AE8" w:rsidRDefault="00000000">
      <w:pPr>
        <w:pBdr>
          <w:top w:val="nil"/>
          <w:left w:val="nil"/>
          <w:bottom w:val="nil"/>
          <w:right w:val="nil"/>
          <w:between w:val="nil"/>
        </w:pBdr>
        <w:spacing w:line="360" w:lineRule="auto"/>
        <w:ind w:firstLine="720"/>
        <w:jc w:val="center"/>
        <w:rPr>
          <w:b/>
          <w:bCs/>
          <w:color w:val="222222"/>
        </w:rPr>
      </w:pPr>
      <w:r>
        <w:rPr>
          <w:b/>
          <w:bCs/>
          <w:color w:val="222222"/>
        </w:rPr>
        <w:t>DISCUSIÓN</w:t>
      </w:r>
    </w:p>
    <w:p w14:paraId="532A3A05"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Los hallazgos de la presente revisión confirman que la desregulación emocional constituye un factor de riesgo consistente y transversal para la Violencia Filio-Parental (VFP), aunque su capacidad explicativa resulta limitada cuando se la considera de manera aislada (Jiménez García-Escribano, 2020; Sasaki et al., 2021, 2025; Martínez-Ferrer et al., 2018; Del Hoyo-Bilbao et al., 2020; Chou et al., 2025; Bechtiger et al., 2026). Este resultado es coherente con el enfoque transdiagnóstico propuesto por Beauchaine y Cicchetti (2019), según el cual la desregulación emocional opera como una vulnerabilidad inespecífica cuya expresión </w:t>
      </w:r>
      <w:r>
        <w:rPr>
          <w:color w:val="222222"/>
        </w:rPr>
        <w:lastRenderedPageBreak/>
        <w:t>conductual depende de su interacción con variables individuales, familiares y sociales, antes que como un mecanismo causal autónomo. En la misma línea, Aroca Montolío et al. (2014), Carrasco et al. (2018), Martínez et al. (2015), Ibabe et al. (2014), Palma-Durán et al. (2023) y Acero et al. (2016) sostienen que las dinámicas familiares disfuncionales, los estilos educativos inconsistentes y la calidad de la comunicación intrafamiliar poseen un peso explicativo central, lo que respalda un modelo dinámico y relacional por sobre las aproximaciones reduccionistas centradas exclusivamente en el individuo (Morris et al., 2007).</w:t>
      </w:r>
    </w:p>
    <w:p w14:paraId="1600B134" w14:textId="77777777" w:rsidR="00020AE8" w:rsidRDefault="00000000">
      <w:pPr>
        <w:pBdr>
          <w:top w:val="nil"/>
          <w:left w:val="nil"/>
          <w:bottom w:val="nil"/>
          <w:right w:val="nil"/>
          <w:between w:val="nil"/>
        </w:pBdr>
        <w:spacing w:line="360" w:lineRule="auto"/>
        <w:ind w:firstLine="720"/>
        <w:jc w:val="both"/>
        <w:rPr>
          <w:color w:val="222222"/>
        </w:rPr>
      </w:pPr>
      <w:r>
        <w:rPr>
          <w:color w:val="222222"/>
        </w:rPr>
        <w:t>La descomposición de ese factor de riesgo en sus componentes como impulsividad y activación emocional reactiva también encuentra eco en la literatura previa. Esta revisión identifica a la impulsividad como el proxy más recurrente y como un componente necesario, aunque no distintivo de la gravedad del fenómeno, particularmente en muestras forenses donde se vuelve casi universal (Loinaz, Barboni y Ma-de-Sousa, 2020; Loinaz y de Sousa, 2020; Bechtiger et al., 2026; Gao et al., 2026), lo cual coincide con las observaciones de Baron y Byrne (1998), Erostabe et al. (2007) y Calvete et al. (2015) acerca de la baja especificidad de la impulsividad y la baja tolerancia a la frustración, rasgos comunes a múltiples problemáticas externalizantes y no exclusivos de la VFP. Esta baja especificidad se extiende al plano psicopatológico: aunque se ha documentado la presencia de TDAH, trastornos de conducta y trastornos del estado de ánimo en estos perfiles (Cottrell y Monk, 2004), la evidencia de esta revisión —que muestra al TDAH como un predictor que coexiste con la conducta antisocial y los antecedentes de abuso, antes que operar de manera aislada (Sasaki et al., 2021, 2025; Bechtiger et al., 2026) resulta consistente con la baja prevalencia de trastornos graves señalada por Laurent y Derry (1999) y con la constatación de que la conducta violenta puede aparecer en ausencia de diagnósticos clínicos formales (Sánchez, 2008). No obstante, la identificación de indicadores de mayor gravedad, como hospitalizaciones psiquiátricas o conductas autolesivas (Kennedy et al., 2010), sugiere la existencia de subgrupos con mayor complejidad clínica, una heterogeneidad que es coherente con la propia dispersión de gravedad muestral observada entre los estudios comunitarios y los forenses de esta revisión (Loinaz, Barboni y Ma-de-Sousa, 2020; Loinaz y de Sousa, 2020). Esto cuestiona los modelos centrados exclusivamente en categorías diagnósticas y respalda la crítica de que los sistemas nosológicos DSM y CIE, al conceptualizar los trastornos disruptivos como un continuo (APA, 2022), tienden a invisibilizar los procesos interactivos y bidireccionales que caracterizan la dinámica entre progenitores e hijos.</w:t>
      </w:r>
    </w:p>
    <w:p w14:paraId="339AD422"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Respecto del papel de la ira y la activación emocional reactiva, los resultados de esta revisión muestran que su efecto sobre la VFP no es directo, sino que se canaliza a través del </w:t>
      </w:r>
      <w:r>
        <w:rPr>
          <w:color w:val="222222"/>
        </w:rPr>
        <w:lastRenderedPageBreak/>
        <w:t>procesamiento sociocognitivo, particularmente el acceso a la respuesta agresiva y la atribución hostil, que en los modelos multivariados llega a absorber el efecto bruto de la ira (Jiménez García-Escribano, 2020; Cano-Lozano et al., 2020, 2023). Este hallazgo converge con los modelos cognitivo-sociales que explican que los adolescentes que ejercen VFP presentan sesgos en el procesamiento de la información social, interpretando situaciones ambiguas como amenazantes y respondiendo de forma agresiva (Orue et al., 2016), así como con la idea de que la relación entre desregulación emocional y conducta agresiva opera principalmente de forma indirecta, a través de mecanismos mediadores como la reactividad emocional, el aprendizaje social y los estilos de crianza (Eisenberg et al., 2010), y mediante procesos de socialización emocional en el entorno familiar (Morris et al., 2007).</w:t>
      </w:r>
    </w:p>
    <w:p w14:paraId="55C8F7B0" w14:textId="77777777" w:rsidR="00020AE8" w:rsidRDefault="00000000">
      <w:pPr>
        <w:pBdr>
          <w:top w:val="nil"/>
          <w:left w:val="nil"/>
          <w:bottom w:val="nil"/>
          <w:right w:val="nil"/>
          <w:between w:val="nil"/>
        </w:pBdr>
        <w:spacing w:line="360" w:lineRule="auto"/>
        <w:ind w:firstLine="720"/>
        <w:jc w:val="both"/>
        <w:rPr>
          <w:color w:val="222222"/>
        </w:rPr>
      </w:pPr>
      <w:r>
        <w:rPr>
          <w:color w:val="222222"/>
        </w:rPr>
        <w:t>En cuanto a la modulación por género, los hallazgos de esta revisión —que muestran una vía emocional más marcada en las adolescentes mujeres, aunque con excepciones que aconsejan no convertirla en una diferencia establecida (Martínez-Ferrer et al., 2018; Del Hoyo-Bilbao et al., 2020; Navas-Martínez y Cano-Lozano, 2023; Cano-Lozano et al., 2023) se enmarcan en una literatura más amplia sobre la dimensión de género en la VFP. Selma (2020) destaca la situación, con frecuencia invisibilizada, de los progenitores, particularmente madres en contextos monoparentales y de edad avanzada que sufren violencia continuada por parte de sus hijos, mientras que Coronado (2023) reporta que las madres registran mayores niveles de victimización psicológica y emocional, sin diferencias significativas en la violencia física respecto de los padres, aunque con bidireccionalidad física más marcada en los hijos varones. La literatura coincide, además, en que la VFP se dirige con mayor frecuencia hacia la madre (Castro Riquelme, 2024), patrón vinculado a su rol como principal figura de cuidado y a su mayor accesibilidad como figura de autoridad, en especial en contextos monoparentales (Jiménez Arroyo, 2017). En conjunto, esta evidencia sugiere que el género modula menos el nivel de desregulación emocional en sí que la dirección, la forma y el tipo de violencia ejercida, distinción que esta revisión también identifica al observar que el componente emocional pesa más en las dinámicas de las chicas, mientras que en los varones predomina la escalada conductual.</w:t>
      </w:r>
    </w:p>
    <w:p w14:paraId="19D304E4"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El quinto eje de resultados de esta revisión, referido a las cadenas multifactoriales que vinculan la desregulación con la parentalidad, el trauma y la cognición moral (Martínez-Ferrer et al., 2018; Cano-Lozano et al., 2020, 2023; Gao et al., 2026; Jiménez-Granado et al., 2023; Bechtiger et al., 2026; Contreras y Cano, 2016; Papamichail y Bates, 2022; Baker et al., 2025), encuentra amplio respaldo en la literatura sobre estilos parentales. La evidencia disponible subraya de manera consistente el papel central de los estilos parentales inconsistentes, </w:t>
      </w:r>
      <w:r>
        <w:rPr>
          <w:color w:val="222222"/>
        </w:rPr>
        <w:lastRenderedPageBreak/>
        <w:t>permisivos o coercitivos en la configuración de la VFP (Martínez et al., 2015; Carrasco et al., 2018; Jiménez-Granado et al., 2023; Aroca Montolío et al., 2014; Agustina y Abadías, 2019; Ibabe et al., 2014), aunque, más que operar como factores aislados, estos estilos parecen interactuar con las vulnerabilidades emocionales del menor, generando patrones coercitivos de escalada relacional, exactamente el tipo de interacción moderada que esta revisión documenta entre la impulsividad y la disciplina parental severa (Gao et al., 2026), o entre los rasgos fríos-insensibles y la permisividad parental (Jiménez-Granado et al., 2023). En contraste, la crianza consistente, el apoyo emocional y la comunicación positiva emergen en la literatura como factores protectores (Morris et al., 2007; Eisenberg et al., 2010), en línea con el hallazgo de esta revisión de que la implicación parental y el afrontamiento competente del conflicto actúan como factores protectores específicos frente a la VFP acumulada (Bechtiger et al., 2026).</w:t>
      </w:r>
    </w:p>
    <w:p w14:paraId="4F6F4C29" w14:textId="77777777" w:rsidR="00020AE8" w:rsidRDefault="00000000">
      <w:pPr>
        <w:pBdr>
          <w:top w:val="nil"/>
          <w:left w:val="nil"/>
          <w:bottom w:val="nil"/>
          <w:right w:val="nil"/>
          <w:between w:val="nil"/>
        </w:pBdr>
        <w:spacing w:line="360" w:lineRule="auto"/>
        <w:ind w:firstLine="720"/>
        <w:jc w:val="both"/>
        <w:rPr>
          <w:color w:val="222222"/>
        </w:rPr>
      </w:pPr>
      <w:r>
        <w:rPr>
          <w:color w:val="222222"/>
        </w:rPr>
        <w:t>Desde una perspectiva relacional más amplia, la configuración familiar no se constituye como determinante por sí sola de la VFP, sino que su influencia depende en gran medida de la dinámica relacional que se establece en el entorno familiar (Arias-Rivera y Hidalgo García, 2020; Carrasco et al., 2018; Ibabe et al., 2014). En este sentido, Pereira (2011) plantea que la triangulación familiar, la formación de alianzas entre progenitores, o entre madre e hijo en contextos monoparentales— puede generar conflictos de lealtades y desorganizar la jerarquía familiar, de modo que la VFP resultaría de la interacción entre dinámicas relacionales disfuncionales, como la triangulación, y procesos individuales como la desregulación emocional. Esta lectura relacional es coherente con el hallazgo de esta revisión según el cual la victimización directa en el hogar predice componentes socio-cognitivos disfuncionales que a su vez se asocian con la VFP (Cano-Lozano et al., 2023), aunque también con el matiz, igualmente relevante, de que esa cadena no se replica de manera uniforme en todos los contextos (Contreras y Cano, 2016).</w:t>
      </w:r>
    </w:p>
    <w:p w14:paraId="7BC9969C" w14:textId="77777777" w:rsidR="00020AE8" w:rsidRDefault="00000000">
      <w:pPr>
        <w:pBdr>
          <w:top w:val="nil"/>
          <w:left w:val="nil"/>
          <w:bottom w:val="nil"/>
          <w:right w:val="nil"/>
          <w:between w:val="nil"/>
        </w:pBdr>
        <w:spacing w:line="360" w:lineRule="auto"/>
        <w:ind w:firstLine="720"/>
        <w:jc w:val="both"/>
        <w:rPr>
          <w:color w:val="222222"/>
        </w:rPr>
      </w:pPr>
      <w:r>
        <w:rPr>
          <w:color w:val="222222"/>
        </w:rPr>
        <w:t xml:space="preserve">Por último, el sexto eje de hallazgos de esta revisión, referido a los límites de la evidencia disponible y a la imposibilidad de establecer causalidad salvo en el caso de la cohorte prospectiva de Bechtiger et al. (2026) se articula con la evidencia sobre el carácter transcontextual de la VFP. Los estudios señalan que estas conductas no se limitan al ámbito familiar, sino que tienden a generalizarse a otros entornos: los problemas emocionales, la impulsividad, el consumo de sustancias y las dificultades escolares presentes en adolescentes que ejercen VFP se asocian también con comportamientos agresivos hacia iguales y figuras de autoridad (Del Moral et al., 2015; Ibabe et al., 2014; Sasaki et al., 2021; Jiménez-Granado et al., 2023). Estos patrones cognitivos disfuncionales ya señalados al discutir el papel de la ira, no serían específicos del vínculo con los padres, sino que operarían en múltiples contextos </w:t>
      </w:r>
      <w:r>
        <w:rPr>
          <w:color w:val="222222"/>
        </w:rPr>
        <w:lastRenderedPageBreak/>
        <w:t>interpersonales (Orue et al., 2016), lo que ha llevado a conceptualizar la VFP como una estrategia de control y dominio dentro de las relaciones familiares que puede extenderse a otras relaciones significativas (Aroca Montolío et al., 2014).</w:t>
      </w:r>
    </w:p>
    <w:p w14:paraId="7FA3D714" w14:textId="77777777" w:rsidR="00020AE8" w:rsidRDefault="00000000">
      <w:pPr>
        <w:pBdr>
          <w:top w:val="nil"/>
          <w:left w:val="nil"/>
          <w:bottom w:val="nil"/>
          <w:right w:val="nil"/>
          <w:between w:val="nil"/>
        </w:pBdr>
        <w:spacing w:line="360" w:lineRule="auto"/>
        <w:ind w:firstLine="720"/>
        <w:jc w:val="both"/>
        <w:rPr>
          <w:color w:val="222222"/>
        </w:rPr>
      </w:pPr>
      <w:r>
        <w:rPr>
          <w:color w:val="222222"/>
        </w:rPr>
        <w:t>Los resultados de esta revisión y la literatura discutida convergen en un modelo multifactorial en el que la desregulación emocional actúa como un factor de riesgo relevante pero no determinante, cuya influencia está condicionada por mediadores como el estrés, la victimización (Herts et al., 2012) y el procesamiento socio-cognitivo y por moderadores, especialmente las prácticas parentales (Byrd et al., 2021). Este modelo es compatible con la conceptualización de la desregulación emocional como un constructo transversal (Aldao et al., 2010; Gross, 2015), de origen multifactorial, que combina componentes individuales: reactividad emocional y déficits en funciones ejecutivas (Gross y Jazaieri, 2014) con componentes familiares y contextuales, estilos parentales coercitivos, estrés crónico y experiencias adversas (Morris et al., 2007; Compas et al., 2017), y que encuentra en las alteraciones del control prefrontal y la reactividad límbica un correlato neurobiológico adicional, aunque todavía insuficiente para explicar por sí solo la conducta violenta en contextos familiares específicos (Beauchaine y Cicchetti, 2019). Estos hallazgos respaldan, en definitiva, la necesidad de avanzar hacia modelos explicativos integradores que incorporen la naturaleza relacional, dinámica y contextual de la VFP, profundizando en la identificación de mecanismos mediadores y moderadores y en el análisis de trayectorias evolutivas diferenciadas (Pereira et al., 2017; Simmons et al., 2018).</w:t>
      </w:r>
    </w:p>
    <w:p w14:paraId="4B7F1692" w14:textId="77777777" w:rsidR="00020AE8" w:rsidRDefault="00020AE8">
      <w:pPr>
        <w:pBdr>
          <w:top w:val="nil"/>
          <w:left w:val="nil"/>
          <w:bottom w:val="nil"/>
          <w:right w:val="nil"/>
          <w:between w:val="nil"/>
        </w:pBdr>
        <w:spacing w:line="360" w:lineRule="auto"/>
        <w:ind w:firstLine="720"/>
        <w:jc w:val="both"/>
        <w:rPr>
          <w:color w:val="222222"/>
        </w:rPr>
      </w:pPr>
    </w:p>
    <w:p w14:paraId="6591C610" w14:textId="77777777" w:rsidR="00020AE8" w:rsidRDefault="00000000">
      <w:pPr>
        <w:pBdr>
          <w:top w:val="nil"/>
          <w:left w:val="nil"/>
          <w:bottom w:val="nil"/>
          <w:right w:val="nil"/>
          <w:between w:val="nil"/>
        </w:pBdr>
        <w:spacing w:line="360" w:lineRule="auto"/>
        <w:ind w:firstLine="720"/>
        <w:jc w:val="center"/>
        <w:rPr>
          <w:b/>
          <w:bCs/>
          <w:color w:val="222222"/>
        </w:rPr>
      </w:pPr>
      <w:r>
        <w:rPr>
          <w:b/>
          <w:bCs/>
          <w:color w:val="222222"/>
        </w:rPr>
        <w:t>CONCLUSIÓN</w:t>
      </w:r>
    </w:p>
    <w:p w14:paraId="24684AA7" w14:textId="77777777" w:rsidR="00020AE8" w:rsidRDefault="00020AE8">
      <w:pPr>
        <w:jc w:val="both"/>
        <w:rPr>
          <w:b/>
          <w:bCs/>
          <w:color w:val="222222"/>
        </w:rPr>
      </w:pPr>
    </w:p>
    <w:p w14:paraId="50049F4A" w14:textId="77777777" w:rsidR="00020AE8" w:rsidRDefault="00000000">
      <w:pPr>
        <w:spacing w:line="360" w:lineRule="auto"/>
        <w:ind w:firstLine="720"/>
        <w:jc w:val="both"/>
        <w:rPr>
          <w:color w:val="222222"/>
        </w:rPr>
      </w:pPr>
      <w:r>
        <w:rPr>
          <w:color w:val="222222"/>
        </w:rPr>
        <w:t xml:space="preserve">La desregulación emocional emerge de esta revisión como un correlato consistente de la Violencia Filio-Parental, pero en ningún caso como su causa única ni como un determinante suficiente. El patrón se sostiene por su recurrencia: la asociación reaparece a través de medidas muy distintas como impulsividad, ira, alexitimia, síntomas de TDAH, déficits en la regulación emocional, y en contextos culturales diversos, lo que la vuelve difícilmente atribuible a un instrumento o una muestra en particular. </w:t>
      </w:r>
    </w:p>
    <w:p w14:paraId="5C5FC3AE" w14:textId="77777777" w:rsidR="00020AE8" w:rsidRDefault="00000000">
      <w:pPr>
        <w:spacing w:line="360" w:lineRule="auto"/>
        <w:ind w:firstLine="720"/>
        <w:jc w:val="both"/>
        <w:rPr>
          <w:color w:val="222222"/>
        </w:rPr>
      </w:pPr>
      <w:r>
        <w:rPr>
          <w:color w:val="222222"/>
        </w:rPr>
        <w:t xml:space="preserve">Sin embargo, esta convergencia debe ser leída con cautela dado que la mayoría de los estudios comparten el autoinforme como método y que la desregulación se infiere de manifestaciones heterogéneas que no son intercambiables entre sí. Parte de la consistencia observada podría reflejar varianza de método compartido y la agregación de constructos distintos bajo una misma etiqueta, antes que la robustez de un único fenómeno. </w:t>
      </w:r>
    </w:p>
    <w:p w14:paraId="60E2D655" w14:textId="77777777" w:rsidR="00020AE8" w:rsidRDefault="00000000">
      <w:pPr>
        <w:spacing w:line="360" w:lineRule="auto"/>
        <w:ind w:firstLine="720"/>
        <w:jc w:val="both"/>
        <w:rPr>
          <w:color w:val="222222"/>
        </w:rPr>
      </w:pPr>
      <w:r>
        <w:rPr>
          <w:color w:val="222222"/>
        </w:rPr>
        <w:lastRenderedPageBreak/>
        <w:t>En todos los estudios, además, la desregulación aparece insertada en un conjunto más amplio de factores, junto con -y no en lugar de- la cognición social, las prácticas parentales, la historia de adversidad y el género. La lectura más ajustada a la evidencia, por tanto, no es que la desregulación emocional cause la VFP, sino que constituye un correlato relevante que se asocia con una mayor presencia del fenómeno, sin que el diseño de los estudios permita establecer su orden temporal ni su contribución determinante.</w:t>
      </w:r>
    </w:p>
    <w:p w14:paraId="794558D6" w14:textId="77777777" w:rsidR="00020AE8" w:rsidRDefault="00000000">
      <w:pPr>
        <w:spacing w:line="360" w:lineRule="auto"/>
        <w:jc w:val="both"/>
        <w:rPr>
          <w:color w:val="222222"/>
        </w:rPr>
      </w:pPr>
      <w:r>
        <w:rPr>
          <w:color w:val="222222"/>
        </w:rPr>
        <w:t xml:space="preserve">       Por su parte, el análisis temático permitió precisar de qué modo se organiza esa asociación, entendida siempre como relación entre variables medidas de manera concurrente y no como secuencia causal. La impulsividad aparece como el componente estadísticamente más próximo a la conducta agresiva, aunque de papel variable ya que opera como predictor en algunos modelos, como moderador en otros y, en las pocas muestras forenses más graves del corpus, como un rasgo de base tan extendido que deja de discriminar entre subgrupos. La ira, por su parte, muestra especificidad con la VFP reactiva (no con la instrumental) y se asocia con la conducta de manera indirecta, en modelos de mediación estadística que la vinculan con el procesamiento socio-cognitivo, en particular la atribución hostil y el acceso a la respuesta agresiva. A esto se suman una vía emocional más marcada en las adolescentes mujeres (presentada como tendencia con excepciones, sostenida en un número reducido de estudios con desagregación por sexo, no como diferencia establecida) y la coocurrencia de la desregulación con la parentalidad, el trauma y la cognición moral dentro de modelos multifactoriales. En conjunto, estos hallazgos resultan más compatibles con un modelo dinámico y relacional que con una explicación reduccionista centrada en el individuo.</w:t>
      </w:r>
    </w:p>
    <w:p w14:paraId="746E0166" w14:textId="77777777" w:rsidR="00020AE8" w:rsidRDefault="00000000">
      <w:pPr>
        <w:spacing w:line="360" w:lineRule="auto"/>
        <w:ind w:firstLine="720"/>
        <w:jc w:val="both"/>
        <w:rPr>
          <w:color w:val="222222"/>
        </w:rPr>
      </w:pPr>
      <w:r>
        <w:rPr>
          <w:color w:val="222222"/>
        </w:rPr>
        <w:t>Estas conclusiones deben leerse dentro de los límites de la evidencia disponible. El corpus se compone de dieciocho unidades de análisis primarias, con predominio de diseños transversales y autoinforme, calidad metodológica mayormente moderada y una medición siempre indirecta de la desregulación emocional, deducida de sus manifestaciones y no evaluada como un constructo único. Estas condiciones impiden establecer relaciones causales, dejan abierta la dirección de las asociaciones (que bien podrían reflejar procesos recíprocos entre el adolescente y su entorno) y limitan la generalización de los resultados. La única excepción es la cohorte poblacional con seguimiento de Bechtiger et al. (2026), que logró sostener la asociación entre el TDAH y la VFP tras controlar la agresión previa; constituye el único indicio de ordenamiento temporal de todo el corpus, si bien acotado a un solo indicador de la desregulación y no extrapolable sin más al constructo en su conjunto.</w:t>
      </w:r>
    </w:p>
    <w:p w14:paraId="3B38A968" w14:textId="77777777" w:rsidR="00020AE8" w:rsidRDefault="00000000">
      <w:pPr>
        <w:spacing w:line="360" w:lineRule="auto"/>
        <w:ind w:firstLine="708"/>
        <w:jc w:val="both"/>
        <w:rPr>
          <w:color w:val="222222"/>
        </w:rPr>
      </w:pPr>
      <w:r>
        <w:rPr>
          <w:color w:val="222222"/>
        </w:rPr>
        <w:t xml:space="preserve">De estas conclusiones se desprenden implicancias convergentes para la práctica clínica y la investigación. En el plano de la intervención, el carácter no específico y no determinante </w:t>
      </w:r>
      <w:r>
        <w:rPr>
          <w:color w:val="222222"/>
        </w:rPr>
        <w:lastRenderedPageBreak/>
        <w:t>de la desregulación emocional, junto con su aparición sistemática en conjunción con otros factores, sugiere dianas plausibles a evaluar más que respaldar un abordaje sobre otro: desaconseja confiar en intervenciones centradas exclusivamente en el control individual del afecto e invita a explorar enfoques multidimensionales y relacionales, que integren el trabajo sobre la regulación emocional y el procesamiento socio-cognitivo con la intervención sobre las prácticas parentales, la historia de victimización y la dinámica familiar en su conjunto; corresponderá a estudios de intervención específicos contrastar esta orientación, ausente en el corpus revisado. En el plano de la investigación, las limitaciones señaladas marcan una agenda clara: avanzar hacia diseños longitudinales y prospectivos que permitan esclarecer la direccionalidad de las asociaciones, y desarrollar una medición directa y específica de la desregulación emocional, superando la dependencia de proxies, de modo de poder estimar su contribución diferencial dentro de los modelos multifactoriales que mejor describen la VFP.</w:t>
      </w:r>
    </w:p>
    <w:p w14:paraId="07C7BE4C" w14:textId="77777777" w:rsidR="00020AE8" w:rsidRDefault="00000000">
      <w:pPr>
        <w:spacing w:line="360" w:lineRule="auto"/>
        <w:ind w:firstLine="708"/>
        <w:jc w:val="both"/>
        <w:rPr>
          <w:i/>
          <w:iCs/>
          <w:color w:val="222222"/>
        </w:rPr>
      </w:pPr>
      <w:r>
        <w:rPr>
          <w:i/>
          <w:iCs/>
          <w:color w:val="222222"/>
        </w:rPr>
        <w:t>Conflicto de intereses</w:t>
      </w:r>
    </w:p>
    <w:p w14:paraId="14DC0FFA" w14:textId="77777777" w:rsidR="00020AE8" w:rsidRDefault="00000000">
      <w:pPr>
        <w:spacing w:line="360" w:lineRule="auto"/>
        <w:ind w:firstLine="708"/>
        <w:jc w:val="both"/>
        <w:rPr>
          <w:color w:val="222222"/>
        </w:rPr>
      </w:pPr>
      <w:r>
        <w:rPr>
          <w:color w:val="222222"/>
        </w:rPr>
        <w:t>Los autores declaran no tener conflictos de intereses respecto a la presente investigación.</w:t>
      </w:r>
    </w:p>
    <w:p w14:paraId="595D9D4B" w14:textId="77777777" w:rsidR="00020AE8" w:rsidRDefault="00000000">
      <w:pPr>
        <w:spacing w:line="360" w:lineRule="auto"/>
        <w:ind w:firstLine="708"/>
        <w:jc w:val="both"/>
        <w:rPr>
          <w:i/>
          <w:iCs/>
          <w:color w:val="222222"/>
        </w:rPr>
      </w:pPr>
      <w:r>
        <w:rPr>
          <w:i/>
          <w:iCs/>
          <w:color w:val="222222"/>
        </w:rPr>
        <w:t>Financiamiento</w:t>
      </w:r>
    </w:p>
    <w:p w14:paraId="77683E47" w14:textId="77777777" w:rsidR="00020AE8" w:rsidRDefault="00000000">
      <w:pPr>
        <w:spacing w:line="360" w:lineRule="auto"/>
        <w:ind w:firstLine="708"/>
        <w:jc w:val="both"/>
        <w:rPr>
          <w:color w:val="222222"/>
        </w:rPr>
      </w:pPr>
      <w:r>
        <w:rPr>
          <w:color w:val="222222"/>
        </w:rPr>
        <w:t>Esta investigación no recibió apoyo financiero específico de agencias del sector público, comercial o de organizaciones sin fines de lucro.</w:t>
      </w:r>
    </w:p>
    <w:p w14:paraId="752A298B" w14:textId="77777777" w:rsidR="00020AE8" w:rsidRDefault="00000000">
      <w:pPr>
        <w:spacing w:line="360" w:lineRule="auto"/>
        <w:ind w:firstLine="708"/>
        <w:jc w:val="both"/>
        <w:rPr>
          <w:b/>
          <w:bCs/>
          <w:color w:val="222222"/>
        </w:rPr>
      </w:pPr>
      <w:r>
        <w:rPr>
          <w:i/>
          <w:iCs/>
          <w:color w:val="222222"/>
        </w:rPr>
        <w:t>Consideraciones éticas</w:t>
      </w:r>
    </w:p>
    <w:p w14:paraId="6D88AE28" w14:textId="77777777" w:rsidR="00020AE8" w:rsidRDefault="00000000">
      <w:pPr>
        <w:spacing w:line="360" w:lineRule="auto"/>
        <w:ind w:firstLine="708"/>
        <w:jc w:val="both"/>
        <w:rPr>
          <w:i/>
          <w:iCs/>
          <w:color w:val="222222"/>
        </w:rPr>
      </w:pPr>
      <w:r>
        <w:rPr>
          <w:color w:val="222222"/>
        </w:rPr>
        <w:t>La presente revisión sistemática se realizó exclusivamente sobre estudios previamente publicados y de acceso público, por lo que no requirió la aprobación de un comité de ética institucional ni la obtención de consentimiento informado por parte de los participantes. Los datos analizados corresponden a resultados ya publicados en la literatura científica, sin acceso a bases de datos de personas ni a información personal identificable. El proceso se llevó a cabo conforme a los principios de integridad académica, transparencia metodológica y trazabilidad de las decisiones, garantizando la correcta atribución de todas las fuentes consultadas según las normas APA 7. La selección, extracción y síntesis de los estudios estuvo a cargo exclusivamente de los autores, siguiendo los lineamientos de la declaración PRISMA 2020 (Page et al., 2021). En el marco del presente trabajo se emplearon herramientas de inteligencia artificial generativa como apoyo instrumental en tareas específicas de asistencia redaccional, sugerencias de estilo y claridad expositiva. El uso de inteligencia artificial se declara en cumplimiento de los principios de transparencia y reproducibilidad científica, conforme a las recomendaciones editoriales vigentes.</w:t>
      </w:r>
    </w:p>
    <w:p w14:paraId="2F8E2DB1" w14:textId="77777777" w:rsidR="00020AE8" w:rsidRDefault="00020AE8">
      <w:pPr>
        <w:ind w:hanging="700"/>
        <w:jc w:val="both"/>
        <w:rPr>
          <w:color w:val="222222"/>
        </w:rPr>
      </w:pPr>
    </w:p>
    <w:p w14:paraId="7C7BAE32" w14:textId="77777777" w:rsidR="00020AE8" w:rsidRDefault="00000000">
      <w:pPr>
        <w:spacing w:line="360" w:lineRule="auto"/>
        <w:ind w:firstLine="720"/>
        <w:jc w:val="center"/>
        <w:rPr>
          <w:b/>
          <w:bCs/>
          <w:color w:val="222222"/>
        </w:rPr>
      </w:pPr>
      <w:r>
        <w:rPr>
          <w:b/>
          <w:bCs/>
          <w:color w:val="222222"/>
        </w:rPr>
        <w:t>REFERENCIAS</w:t>
      </w:r>
    </w:p>
    <w:p w14:paraId="2FD6BEA2" w14:textId="77777777" w:rsidR="00020AE8" w:rsidRDefault="00000000">
      <w:pPr>
        <w:spacing w:before="240" w:after="240" w:line="360" w:lineRule="auto"/>
        <w:jc w:val="both"/>
        <w:rPr>
          <w:i/>
          <w:iCs/>
          <w:color w:val="222222"/>
          <w:sz w:val="20"/>
          <w:szCs w:val="20"/>
        </w:rPr>
      </w:pPr>
      <w:r>
        <w:rPr>
          <w:i/>
          <w:iCs/>
          <w:color w:val="222222"/>
          <w:sz w:val="20"/>
          <w:szCs w:val="20"/>
        </w:rPr>
        <w:lastRenderedPageBreak/>
        <w:t>Los estudios marcados con * corresponden a las unidades de análisis incluidas en la revisión sistemática.</w:t>
      </w:r>
    </w:p>
    <w:p w14:paraId="5C5C1A1A" w14:textId="77777777" w:rsidR="00020AE8" w:rsidRDefault="00000000">
      <w:pPr>
        <w:spacing w:before="240" w:after="240" w:line="360" w:lineRule="auto"/>
        <w:ind w:left="720" w:hanging="720"/>
        <w:jc w:val="both"/>
        <w:rPr>
          <w:color w:val="222222"/>
        </w:rPr>
      </w:pPr>
      <w:r>
        <w:rPr>
          <w:color w:val="222222"/>
        </w:rPr>
        <w:t>Acero, J. L. S. (2016). Violencia filio parental: características psicosociales de adolescentes y progenitores en conflicto familiar severo [Tesis doctoral.  Universidad Complutense de Madrid].</w:t>
      </w:r>
    </w:p>
    <w:p w14:paraId="54623BB3" w14:textId="77777777" w:rsidR="00020AE8" w:rsidRDefault="00000000">
      <w:pPr>
        <w:spacing w:line="297" w:lineRule="auto"/>
        <w:ind w:left="720" w:hanging="720"/>
        <w:jc w:val="both"/>
        <w:rPr>
          <w:color w:val="222222"/>
        </w:rPr>
      </w:pPr>
      <w:r>
        <w:rPr>
          <w:color w:val="222222"/>
        </w:rPr>
        <w:t xml:space="preserve">Agustina, J. R., Abadías, A. (2019). ¿ Hijos tiranos o padres indolentes?: claves ante la violencia filio-parental. </w:t>
      </w:r>
      <w:r>
        <w:rPr>
          <w:i/>
          <w:iCs/>
          <w:color w:val="222222"/>
        </w:rPr>
        <w:t>Revista Electrónica de Ciencia Penal y Criminología</w:t>
      </w:r>
      <w:r>
        <w:rPr>
          <w:color w:val="222222"/>
        </w:rPr>
        <w:t>, 21, 1-54.</w:t>
      </w:r>
    </w:p>
    <w:p w14:paraId="57991D37" w14:textId="77777777" w:rsidR="00020AE8" w:rsidRDefault="00000000">
      <w:pPr>
        <w:spacing w:before="240" w:after="240" w:line="360" w:lineRule="auto"/>
        <w:ind w:left="720" w:hanging="720"/>
        <w:jc w:val="both"/>
        <w:rPr>
          <w:color w:val="222222"/>
        </w:rPr>
      </w:pPr>
      <w:r>
        <w:rPr>
          <w:color w:val="222222"/>
        </w:rPr>
        <w:t xml:space="preserve">Aldao, A. (2012). Emotion regulation strategies as transdiagnostic processes: A closer look at the invariance of their form and function. </w:t>
      </w:r>
      <w:r>
        <w:rPr>
          <w:i/>
          <w:iCs/>
          <w:color w:val="222222"/>
        </w:rPr>
        <w:t>Revista de Psicopatología y Psicología Clínica</w:t>
      </w:r>
      <w:r>
        <w:rPr>
          <w:color w:val="222222"/>
        </w:rPr>
        <w:t xml:space="preserve">, </w:t>
      </w:r>
      <w:r>
        <w:rPr>
          <w:i/>
          <w:iCs/>
          <w:color w:val="222222"/>
        </w:rPr>
        <w:t>17</w:t>
      </w:r>
      <w:r>
        <w:rPr>
          <w:color w:val="222222"/>
        </w:rPr>
        <w:t>(3), 261–277.</w:t>
      </w:r>
    </w:p>
    <w:p w14:paraId="2802A2FF" w14:textId="77777777" w:rsidR="00020AE8" w:rsidRDefault="00000000">
      <w:pPr>
        <w:spacing w:before="240" w:after="240" w:line="360" w:lineRule="auto"/>
        <w:ind w:left="720" w:hanging="720"/>
        <w:jc w:val="both"/>
        <w:rPr>
          <w:color w:val="222222"/>
          <w:u w:val="single"/>
        </w:rPr>
      </w:pPr>
      <w:r>
        <w:rPr>
          <w:color w:val="222222"/>
        </w:rPr>
        <w:t xml:space="preserve">Aldao, A., Nolen-Hoeksema, S., &amp; Schweizer, S. (2010). Emotion-regulation strategies across psychopathology: A meta-analytic review. </w:t>
      </w:r>
      <w:r>
        <w:rPr>
          <w:i/>
          <w:iCs/>
          <w:color w:val="222222"/>
        </w:rPr>
        <w:t>Clinical Psychology Review</w:t>
      </w:r>
      <w:r>
        <w:rPr>
          <w:color w:val="222222"/>
        </w:rPr>
        <w:t xml:space="preserve">, </w:t>
      </w:r>
      <w:r>
        <w:rPr>
          <w:i/>
          <w:iCs/>
          <w:color w:val="222222"/>
        </w:rPr>
        <w:t>30</w:t>
      </w:r>
      <w:r>
        <w:rPr>
          <w:color w:val="222222"/>
        </w:rPr>
        <w:t xml:space="preserve">(2), 217–237. </w:t>
      </w:r>
      <w:hyperlink r:id="rId9">
        <w:r>
          <w:rPr>
            <w:color w:val="222222"/>
            <w:u w:val="single"/>
          </w:rPr>
          <w:t>https://doi.org/10.1016/j.cpr.2009.11.004</w:t>
        </w:r>
      </w:hyperlink>
    </w:p>
    <w:p w14:paraId="0833C637" w14:textId="77777777" w:rsidR="00020AE8" w:rsidRDefault="00000000">
      <w:pPr>
        <w:spacing w:before="240" w:after="240" w:line="360" w:lineRule="auto"/>
        <w:ind w:left="720" w:hanging="720"/>
        <w:jc w:val="both"/>
        <w:rPr>
          <w:color w:val="222222"/>
          <w:u w:val="single"/>
        </w:rPr>
      </w:pPr>
      <w:r>
        <w:rPr>
          <w:color w:val="222222"/>
        </w:rPr>
        <w:t xml:space="preserve">American Psychiatric Association. (2022). </w:t>
      </w:r>
      <w:r>
        <w:rPr>
          <w:i/>
          <w:iCs/>
          <w:color w:val="222222"/>
        </w:rPr>
        <w:t>Diagnostic and statistical manual of mental disorders</w:t>
      </w:r>
      <w:r>
        <w:rPr>
          <w:color w:val="222222"/>
        </w:rPr>
        <w:t xml:space="preserve"> (5th ed., text rev.). </w:t>
      </w:r>
      <w:hyperlink r:id="rId10">
        <w:r>
          <w:rPr>
            <w:color w:val="222222"/>
            <w:u w:val="single"/>
          </w:rPr>
          <w:t>https://doi.org/10.1176/appi.books.9780890425787</w:t>
        </w:r>
      </w:hyperlink>
    </w:p>
    <w:p w14:paraId="4547DA96" w14:textId="77777777" w:rsidR="00020AE8" w:rsidRDefault="00000000">
      <w:pPr>
        <w:spacing w:before="240" w:after="240" w:line="360" w:lineRule="auto"/>
        <w:ind w:left="720" w:hanging="720"/>
        <w:jc w:val="both"/>
        <w:rPr>
          <w:color w:val="222222"/>
        </w:rPr>
      </w:pPr>
      <w:r>
        <w:rPr>
          <w:color w:val="222222"/>
        </w:rPr>
        <w:t xml:space="preserve">Arias-Rivera, S., &amp; Hidalgo García, M. V. (2020).  Theoretical framework and explanatory factors for child-to-parent violence. A scoping review. </w:t>
      </w:r>
      <w:r>
        <w:rPr>
          <w:i/>
          <w:iCs/>
          <w:color w:val="222222"/>
        </w:rPr>
        <w:t>Anales de Psicología, 36</w:t>
      </w:r>
      <w:r>
        <w:rPr>
          <w:color w:val="222222"/>
        </w:rPr>
        <w:t xml:space="preserve">(2), 220-231. </w:t>
      </w:r>
      <w:hyperlink r:id="rId11">
        <w:r>
          <w:rPr>
            <w:color w:val="222222"/>
            <w:u w:val="single"/>
          </w:rPr>
          <w:t>https://doi.org/10.6018/analesps.338881</w:t>
        </w:r>
      </w:hyperlink>
      <w:r>
        <w:rPr>
          <w:color w:val="222222"/>
        </w:rPr>
        <w:t xml:space="preserve"> </w:t>
      </w:r>
    </w:p>
    <w:p w14:paraId="70998594" w14:textId="77777777" w:rsidR="00020AE8" w:rsidRDefault="00000000">
      <w:pPr>
        <w:spacing w:before="240" w:after="240" w:line="360" w:lineRule="auto"/>
        <w:ind w:left="720" w:hanging="720"/>
        <w:jc w:val="both"/>
        <w:rPr>
          <w:color w:val="222222"/>
          <w:u w:val="single"/>
        </w:rPr>
      </w:pPr>
      <w:r>
        <w:rPr>
          <w:color w:val="222222"/>
        </w:rPr>
        <w:t xml:space="preserve">Aroca-Montolío, C., Lorenzo-Moledo, M., y Miró-Pérez, M. (2014). La violencia filio-parental: un análisis de sus claves. </w:t>
      </w:r>
      <w:r>
        <w:rPr>
          <w:i/>
          <w:iCs/>
          <w:color w:val="222222"/>
        </w:rPr>
        <w:t>Anales de Psicología</w:t>
      </w:r>
      <w:r>
        <w:rPr>
          <w:color w:val="222222"/>
        </w:rPr>
        <w:t xml:space="preserve">, </w:t>
      </w:r>
      <w:r>
        <w:rPr>
          <w:i/>
          <w:iCs/>
          <w:color w:val="222222"/>
        </w:rPr>
        <w:t>30</w:t>
      </w:r>
      <w:r>
        <w:rPr>
          <w:color w:val="222222"/>
        </w:rPr>
        <w:t xml:space="preserve">(1), 157–170. </w:t>
      </w:r>
      <w:hyperlink r:id="rId12">
        <w:r>
          <w:rPr>
            <w:color w:val="222222"/>
            <w:u w:val="single"/>
          </w:rPr>
          <w:t>https://dx.doi.org/10.6018/analesps.30.1.149521</w:t>
        </w:r>
      </w:hyperlink>
    </w:p>
    <w:p w14:paraId="4CA67DD8" w14:textId="77777777" w:rsidR="00020AE8" w:rsidRDefault="00000000">
      <w:pPr>
        <w:spacing w:before="240" w:after="240" w:line="360" w:lineRule="auto"/>
        <w:ind w:left="720" w:hanging="720"/>
        <w:jc w:val="both"/>
        <w:rPr>
          <w:i/>
          <w:iCs/>
          <w:color w:val="222222"/>
          <w:highlight w:val="white"/>
        </w:rPr>
      </w:pPr>
      <w:r>
        <w:rPr>
          <w:color w:val="222222"/>
        </w:rPr>
        <w:t xml:space="preserve">* Baker, V., Radford, L., Harbin, F., </w:t>
      </w:r>
      <w:r>
        <w:rPr>
          <w:color w:val="222222"/>
          <w:highlight w:val="white"/>
        </w:rPr>
        <w:t xml:space="preserve">&amp; Barter, C. </w:t>
      </w:r>
      <w:r>
        <w:rPr>
          <w:color w:val="222222"/>
        </w:rPr>
        <w:t xml:space="preserve">Young People’s Accounts of their Violence and Abuse Towards Parents: Causes, Contexts, and Motivations. </w:t>
      </w:r>
      <w:r>
        <w:rPr>
          <w:i/>
          <w:iCs/>
          <w:color w:val="222222"/>
          <w:highlight w:val="white"/>
        </w:rPr>
        <w:t>Journal of Family Violence</w:t>
      </w:r>
      <w:r>
        <w:rPr>
          <w:color w:val="222222"/>
          <w:highlight w:val="white"/>
        </w:rPr>
        <w:t>, 1-18.</w:t>
      </w:r>
      <w:hyperlink r:id="rId13">
        <w:r>
          <w:rPr>
            <w:color w:val="222222"/>
            <w:u w:val="single"/>
          </w:rPr>
          <w:t>https://doi.org/10.1007/s10896-025-00870-9</w:t>
        </w:r>
      </w:hyperlink>
      <w:r>
        <w:rPr>
          <w:color w:val="222222"/>
        </w:rPr>
        <w:t xml:space="preserve"> </w:t>
      </w:r>
    </w:p>
    <w:p w14:paraId="2A36A3B5" w14:textId="77777777" w:rsidR="00020AE8" w:rsidRDefault="00000000">
      <w:pPr>
        <w:spacing w:before="240" w:after="240" w:line="360" w:lineRule="auto"/>
        <w:ind w:left="720" w:hanging="720"/>
        <w:jc w:val="both"/>
        <w:rPr>
          <w:color w:val="222222"/>
        </w:rPr>
      </w:pPr>
      <w:r>
        <w:rPr>
          <w:color w:val="222222"/>
        </w:rPr>
        <w:t xml:space="preserve">Baron, R. M., &amp; Byrne, D. E. (1998). </w:t>
      </w:r>
      <w:r>
        <w:rPr>
          <w:i/>
          <w:iCs/>
          <w:color w:val="222222"/>
        </w:rPr>
        <w:t>Social psychology</w:t>
      </w:r>
      <w:r>
        <w:rPr>
          <w:color w:val="222222"/>
        </w:rPr>
        <w:t>. Prentice Hall.</w:t>
      </w:r>
    </w:p>
    <w:p w14:paraId="0D33213C" w14:textId="77777777" w:rsidR="00020AE8" w:rsidRDefault="00000000">
      <w:pPr>
        <w:spacing w:before="240" w:after="240" w:line="360" w:lineRule="auto"/>
        <w:ind w:left="720" w:hanging="720"/>
        <w:jc w:val="both"/>
        <w:rPr>
          <w:color w:val="222222"/>
          <w:u w:val="single"/>
        </w:rPr>
      </w:pPr>
      <w:r>
        <w:rPr>
          <w:color w:val="222222"/>
        </w:rPr>
        <w:t xml:space="preserve">Beauchaine, T. P., &amp; Cicchetti, D. (2019). Emotion dysregulation and emerging psychopathology: A transdiagnostic, transdisciplinary perspective. </w:t>
      </w:r>
      <w:r>
        <w:rPr>
          <w:i/>
          <w:iCs/>
          <w:color w:val="222222"/>
        </w:rPr>
        <w:t>Development and Psychopathology</w:t>
      </w:r>
      <w:r>
        <w:rPr>
          <w:color w:val="222222"/>
        </w:rPr>
        <w:t xml:space="preserve">, </w:t>
      </w:r>
      <w:r>
        <w:rPr>
          <w:i/>
          <w:iCs/>
          <w:color w:val="222222"/>
        </w:rPr>
        <w:t>31</w:t>
      </w:r>
      <w:r>
        <w:rPr>
          <w:color w:val="222222"/>
        </w:rPr>
        <w:t xml:space="preserve">(3), 799–804. </w:t>
      </w:r>
      <w:hyperlink r:id="rId14">
        <w:r>
          <w:rPr>
            <w:color w:val="222222"/>
            <w:u w:val="single"/>
          </w:rPr>
          <w:t>https://doi.org/10.1017/S0954579419000696</w:t>
        </w:r>
      </w:hyperlink>
    </w:p>
    <w:p w14:paraId="7D8EC366" w14:textId="77777777" w:rsidR="00020AE8" w:rsidRDefault="00000000">
      <w:pPr>
        <w:spacing w:before="240" w:after="240" w:line="360" w:lineRule="auto"/>
        <w:ind w:left="720" w:hanging="720"/>
        <w:jc w:val="both"/>
        <w:rPr>
          <w:color w:val="222222"/>
          <w:u w:val="single"/>
        </w:rPr>
      </w:pPr>
      <w:r>
        <w:rPr>
          <w:color w:val="222222"/>
        </w:rPr>
        <w:lastRenderedPageBreak/>
        <w:t xml:space="preserve">Beauchaine, T. P., &amp; Gatzke-Kopp, L. M. (2012). Instantiating the multiple levels of analysis perspective in a program of study on externalizing behavior. </w:t>
      </w:r>
      <w:r>
        <w:rPr>
          <w:i/>
          <w:iCs/>
          <w:color w:val="222222"/>
        </w:rPr>
        <w:t>Development and Psychopathology</w:t>
      </w:r>
      <w:r>
        <w:rPr>
          <w:color w:val="222222"/>
        </w:rPr>
        <w:t xml:space="preserve">, </w:t>
      </w:r>
      <w:r>
        <w:rPr>
          <w:i/>
          <w:iCs/>
          <w:color w:val="222222"/>
        </w:rPr>
        <w:t>24</w:t>
      </w:r>
      <w:r>
        <w:rPr>
          <w:color w:val="222222"/>
        </w:rPr>
        <w:t xml:space="preserve">(3), 1003–1018. </w:t>
      </w:r>
      <w:hyperlink r:id="rId15">
        <w:r>
          <w:rPr>
            <w:color w:val="222222"/>
            <w:u w:val="single"/>
          </w:rPr>
          <w:t>https://doi.org/10.1017/S0954579412000508</w:t>
        </w:r>
      </w:hyperlink>
    </w:p>
    <w:p w14:paraId="68EB20A1" w14:textId="77777777" w:rsidR="00020AE8" w:rsidRDefault="00000000">
      <w:pPr>
        <w:spacing w:before="240" w:after="240" w:line="360" w:lineRule="auto"/>
        <w:ind w:left="720" w:hanging="720"/>
        <w:jc w:val="both"/>
        <w:rPr>
          <w:color w:val="222222"/>
        </w:rPr>
      </w:pPr>
      <w:r>
        <w:rPr>
          <w:color w:val="222222"/>
        </w:rPr>
        <w:t xml:space="preserve">* Bechtiger, L., Bürgin, D., Vasconcelos, G. F., Ribeaud, D., Eisner, M., &amp; Shanahan, L. (2026). Physical aggression toward parents from ages 11 to 24: prevalence trajectory and risk and protective factors. </w:t>
      </w:r>
      <w:r>
        <w:rPr>
          <w:i/>
          <w:iCs/>
          <w:color w:val="222222"/>
        </w:rPr>
        <w:t>European child &amp; adolescent psychiatry, 3</w:t>
      </w:r>
      <w:r>
        <w:rPr>
          <w:color w:val="222222"/>
        </w:rPr>
        <w:t xml:space="preserve">5(5), 1545–1553. </w:t>
      </w:r>
      <w:hyperlink r:id="rId16">
        <w:r>
          <w:rPr>
            <w:color w:val="222222"/>
            <w:u w:val="single"/>
          </w:rPr>
          <w:t>https://doi.org/10.1007/s00787-025-02953-w</w:t>
        </w:r>
      </w:hyperlink>
      <w:r>
        <w:rPr>
          <w:color w:val="222222"/>
        </w:rPr>
        <w:t xml:space="preserve"> </w:t>
      </w:r>
    </w:p>
    <w:p w14:paraId="1F4FB501" w14:textId="77777777" w:rsidR="00020AE8" w:rsidRDefault="00000000">
      <w:pPr>
        <w:spacing w:before="240" w:after="240" w:line="360" w:lineRule="auto"/>
        <w:ind w:left="720" w:hanging="720"/>
        <w:jc w:val="both"/>
        <w:rPr>
          <w:color w:val="222222"/>
          <w:u w:val="single"/>
        </w:rPr>
      </w:pPr>
      <w:r>
        <w:rPr>
          <w:color w:val="222222"/>
        </w:rPr>
        <w:t xml:space="preserve">Braun, V., &amp; Clarke, V. (2006). Using thematic analysis in psychology. </w:t>
      </w:r>
      <w:r>
        <w:rPr>
          <w:i/>
          <w:iCs/>
          <w:color w:val="222222"/>
        </w:rPr>
        <w:t>Qualitative Research in Psychology</w:t>
      </w:r>
      <w:r>
        <w:rPr>
          <w:color w:val="222222"/>
        </w:rPr>
        <w:t xml:space="preserve">, </w:t>
      </w:r>
      <w:r>
        <w:rPr>
          <w:i/>
          <w:iCs/>
          <w:color w:val="222222"/>
        </w:rPr>
        <w:t>3</w:t>
      </w:r>
      <w:r>
        <w:rPr>
          <w:color w:val="222222"/>
        </w:rPr>
        <w:t>(2), 77–101.</w:t>
      </w:r>
      <w:hyperlink r:id="rId17">
        <w:r>
          <w:rPr>
            <w:color w:val="222222"/>
            <w:u w:val="single"/>
          </w:rPr>
          <w:t>https://doi.org/10.1191/1478088706qp063oa</w:t>
        </w:r>
      </w:hyperlink>
    </w:p>
    <w:p w14:paraId="4FDFAC26" w14:textId="77777777" w:rsidR="00020AE8" w:rsidRDefault="00000000">
      <w:pPr>
        <w:spacing w:before="240" w:after="240" w:line="360" w:lineRule="auto"/>
        <w:ind w:left="720" w:hanging="720"/>
        <w:jc w:val="both"/>
        <w:rPr>
          <w:color w:val="222222"/>
        </w:rPr>
      </w:pPr>
      <w:r>
        <w:rPr>
          <w:color w:val="222222"/>
        </w:rPr>
        <w:t xml:space="preserve">Byrd, A. L., Vine, V., Frigoletto, O. A., Vanwoerden, S., &amp; Stepp, S. D. (2021). A multi-method investigation of parental responses to youth emotion: Prospective effects on emotion dysregulation and reactive aggression in daily life. </w:t>
      </w:r>
      <w:r>
        <w:rPr>
          <w:i/>
          <w:iCs/>
          <w:color w:val="222222"/>
        </w:rPr>
        <w:t>Research on Child and Adolescent Psychopathology</w:t>
      </w:r>
      <w:r>
        <w:rPr>
          <w:color w:val="222222"/>
        </w:rPr>
        <w:t xml:space="preserve">, </w:t>
      </w:r>
      <w:r>
        <w:rPr>
          <w:i/>
          <w:iCs/>
          <w:color w:val="222222"/>
        </w:rPr>
        <w:t>50</w:t>
      </w:r>
      <w:r>
        <w:rPr>
          <w:color w:val="222222"/>
        </w:rPr>
        <w:t xml:space="preserve">(2), 117–131. </w:t>
      </w:r>
      <w:hyperlink r:id="rId18">
        <w:r>
          <w:rPr>
            <w:color w:val="222222"/>
            <w:u w:val="single"/>
          </w:rPr>
          <w:t>https://doi.org/10.1007/s10802-020-00754-0</w:t>
        </w:r>
      </w:hyperlink>
      <w:r>
        <w:rPr>
          <w:color w:val="222222"/>
        </w:rPr>
        <w:t xml:space="preserve"> </w:t>
      </w:r>
    </w:p>
    <w:p w14:paraId="52DBFDE7" w14:textId="77777777" w:rsidR="00020AE8" w:rsidRDefault="00000000">
      <w:pPr>
        <w:spacing w:before="240" w:after="240" w:line="360" w:lineRule="auto"/>
        <w:ind w:left="720" w:hanging="720"/>
        <w:jc w:val="both"/>
        <w:rPr>
          <w:color w:val="222222"/>
        </w:rPr>
      </w:pPr>
      <w:r>
        <w:rPr>
          <w:color w:val="222222"/>
        </w:rPr>
        <w:t xml:space="preserve">Cagigal de Gregorio, V., Serrano Molina, A., y Aza Blanc, G. (2008). La violencia de los hijos hacia los padres. </w:t>
      </w:r>
      <w:r>
        <w:rPr>
          <w:i/>
          <w:iCs/>
          <w:color w:val="222222"/>
        </w:rPr>
        <w:t>Miscelánea Comillas</w:t>
      </w:r>
      <w:r>
        <w:rPr>
          <w:color w:val="222222"/>
        </w:rPr>
        <w:t xml:space="preserve">, </w:t>
      </w:r>
      <w:r>
        <w:rPr>
          <w:i/>
          <w:iCs/>
          <w:color w:val="222222"/>
        </w:rPr>
        <w:t>66</w:t>
      </w:r>
      <w:r>
        <w:rPr>
          <w:color w:val="222222"/>
        </w:rPr>
        <w:t>(129), 439–459.</w:t>
      </w:r>
    </w:p>
    <w:p w14:paraId="5CA8676D" w14:textId="77777777" w:rsidR="00020AE8" w:rsidRDefault="00000000">
      <w:pPr>
        <w:spacing w:before="240" w:after="240" w:line="360" w:lineRule="auto"/>
        <w:ind w:left="720" w:hanging="720"/>
        <w:jc w:val="both"/>
        <w:rPr>
          <w:color w:val="222222"/>
          <w:u w:val="single"/>
        </w:rPr>
      </w:pPr>
      <w:r>
        <w:rPr>
          <w:color w:val="222222"/>
        </w:rPr>
        <w:t xml:space="preserve">Calvete, E., Orue, I., &amp; Sampedro, R. (2015). Child-to-parent violence: Emotional and behavioral predictors. </w:t>
      </w:r>
      <w:r>
        <w:rPr>
          <w:i/>
          <w:iCs/>
          <w:color w:val="222222"/>
        </w:rPr>
        <w:t>Journal of Interpersonal Violence</w:t>
      </w:r>
      <w:r>
        <w:rPr>
          <w:color w:val="222222"/>
        </w:rPr>
        <w:t xml:space="preserve">, </w:t>
      </w:r>
      <w:r>
        <w:rPr>
          <w:i/>
          <w:iCs/>
          <w:color w:val="222222"/>
        </w:rPr>
        <w:t>30</w:t>
      </w:r>
      <w:r>
        <w:rPr>
          <w:color w:val="222222"/>
        </w:rPr>
        <w:t xml:space="preserve">(11), 1882–1907. </w:t>
      </w:r>
      <w:hyperlink r:id="rId19">
        <w:r>
          <w:rPr>
            <w:color w:val="222222"/>
            <w:u w:val="single"/>
          </w:rPr>
          <w:t>https://doi.org/10.1177/0886260514548565</w:t>
        </w:r>
      </w:hyperlink>
    </w:p>
    <w:p w14:paraId="439498A3" w14:textId="77777777" w:rsidR="00020AE8" w:rsidRDefault="00000000">
      <w:pPr>
        <w:spacing w:before="240" w:after="240" w:line="360" w:lineRule="auto"/>
        <w:ind w:left="720" w:hanging="720"/>
        <w:jc w:val="both"/>
        <w:rPr>
          <w:color w:val="222222"/>
          <w:u w:val="single"/>
        </w:rPr>
      </w:pPr>
      <w:r>
        <w:rPr>
          <w:color w:val="222222"/>
        </w:rPr>
        <w:t xml:space="preserve">* Cano-Lozano, M. C., Rodríguez-Díaz, F.,J., León, S.P. &amp; Contreras, L. (2020). Analyzing the Relationship Between Child-to-Parent Violence and Perceived Parental Warmth. </w:t>
      </w:r>
      <w:r>
        <w:rPr>
          <w:i/>
          <w:iCs/>
          <w:color w:val="222222"/>
        </w:rPr>
        <w:t>Front. Psychol, 11</w:t>
      </w:r>
      <w:r>
        <w:rPr>
          <w:color w:val="222222"/>
        </w:rPr>
        <w:t xml:space="preserve">, e590097. </w:t>
      </w:r>
      <w:r>
        <w:rPr>
          <w:color w:val="222222"/>
          <w:u w:val="single"/>
        </w:rPr>
        <w:t xml:space="preserve">doi:10.3389/fpsyg.2020.590097  </w:t>
      </w:r>
    </w:p>
    <w:p w14:paraId="36B08F77" w14:textId="77777777" w:rsidR="00020AE8" w:rsidRDefault="00000000">
      <w:pPr>
        <w:spacing w:before="240" w:after="240" w:line="360" w:lineRule="auto"/>
        <w:ind w:left="720" w:hanging="720"/>
        <w:jc w:val="both"/>
      </w:pPr>
      <w:r>
        <w:rPr>
          <w:color w:val="222222"/>
        </w:rPr>
        <w:t xml:space="preserve">* Cano-Lozano, M. C., Contreras, L., Navas-Martínez, M. J., León, S. P., &amp; Rodríguez-Díaz, F. J. (2023). Child-to-parent violence offenders (specialists vs. generalists): The role of direct victimization at home. </w:t>
      </w:r>
      <w:r>
        <w:rPr>
          <w:i/>
          <w:iCs/>
          <w:color w:val="222222"/>
        </w:rPr>
        <w:t>European Journal of Psychology Applied to Legal Context, 15</w:t>
      </w:r>
      <w:r>
        <w:rPr>
          <w:color w:val="222222"/>
        </w:rPr>
        <w:t xml:space="preserve">(1), 9-22. </w:t>
      </w:r>
      <w:hyperlink r:id="rId20">
        <w:r>
          <w:rPr>
            <w:u w:val="single"/>
          </w:rPr>
          <w:t>https://doi.org/10.5093/ejpalc2023a2</w:t>
        </w:r>
      </w:hyperlink>
      <w:r>
        <w:t xml:space="preserve"> </w:t>
      </w:r>
    </w:p>
    <w:p w14:paraId="2E7C9170" w14:textId="77777777" w:rsidR="00020AE8" w:rsidRDefault="00000000">
      <w:pPr>
        <w:spacing w:before="240" w:after="240" w:line="360" w:lineRule="auto"/>
        <w:ind w:left="720" w:hanging="720"/>
        <w:jc w:val="both"/>
        <w:rPr>
          <w:color w:val="222222"/>
        </w:rPr>
      </w:pPr>
      <w:r>
        <w:rPr>
          <w:color w:val="222222"/>
        </w:rPr>
        <w:t xml:space="preserve">Carrasco, N., García, J., &amp; Zaldívar, F. (2018). Diferencias asociadas a la violencia filio-parental en función del tipo de familia (“normalizadas” vs “en riesgo”) y parentesco de la víctima. </w:t>
      </w:r>
      <w:r>
        <w:rPr>
          <w:i/>
          <w:iCs/>
          <w:color w:val="222222"/>
        </w:rPr>
        <w:t>Revista de Psicología Clínica con niños y adolescentes, 5(</w:t>
      </w:r>
      <w:r>
        <w:rPr>
          <w:color w:val="222222"/>
        </w:rPr>
        <w:t>3), 30-35.</w:t>
      </w:r>
    </w:p>
    <w:p w14:paraId="7BE43AEB" w14:textId="77777777" w:rsidR="00020AE8" w:rsidRDefault="00000000">
      <w:pPr>
        <w:spacing w:before="240" w:after="240" w:line="360" w:lineRule="auto"/>
        <w:ind w:left="720" w:hanging="720"/>
        <w:jc w:val="both"/>
        <w:rPr>
          <w:color w:val="222222"/>
          <w:u w:val="single"/>
        </w:rPr>
      </w:pPr>
      <w:r>
        <w:rPr>
          <w:color w:val="222222"/>
        </w:rPr>
        <w:lastRenderedPageBreak/>
        <w:t xml:space="preserve">Castro Riquelme, J. (2024). </w:t>
      </w:r>
      <w:r>
        <w:rPr>
          <w:i/>
          <w:iCs/>
          <w:color w:val="222222"/>
        </w:rPr>
        <w:t>Violencia filio-parental y víctimas en el contexto familiar</w:t>
      </w:r>
      <w:r>
        <w:rPr>
          <w:color w:val="222222"/>
        </w:rPr>
        <w:t xml:space="preserve"> [Tesis de grado, Universidad de La Laguna]. </w:t>
      </w:r>
      <w:hyperlink r:id="rId21">
        <w:r>
          <w:rPr>
            <w:color w:val="222222"/>
            <w:u w:val="single"/>
          </w:rPr>
          <w:t>http://riull.ull.es/xmlui/handle/915/36500</w:t>
        </w:r>
      </w:hyperlink>
    </w:p>
    <w:p w14:paraId="7DB54347" w14:textId="77777777" w:rsidR="00020AE8" w:rsidRDefault="00000000">
      <w:pPr>
        <w:spacing w:before="240" w:after="240" w:line="360" w:lineRule="auto"/>
        <w:ind w:left="720" w:hanging="720"/>
        <w:jc w:val="both"/>
        <w:rPr>
          <w:color w:val="222222"/>
        </w:rPr>
      </w:pPr>
      <w:r>
        <w:rPr>
          <w:color w:val="222222"/>
        </w:rPr>
        <w:t xml:space="preserve">* Chou, W. J., Hsiao, R. C., Wang, P. W., &amp; Yen, C. F. (2025). Multidimensional Factors Related to Engagement in Child-to-Parent Violence among Adolescents with Attention-Deficit/Hyperactivity Disorder. </w:t>
      </w:r>
      <w:r>
        <w:rPr>
          <w:i/>
          <w:iCs/>
          <w:color w:val="222222"/>
        </w:rPr>
        <w:t>International Journal of Medical Sciences, 22</w:t>
      </w:r>
      <w:r>
        <w:rPr>
          <w:color w:val="222222"/>
        </w:rPr>
        <w:t xml:space="preserve">(15), 3965–3973. </w:t>
      </w:r>
      <w:hyperlink r:id="rId22">
        <w:r>
          <w:rPr>
            <w:u w:val="single"/>
          </w:rPr>
          <w:t>https://doi.org/10.7150/ijms.116091</w:t>
        </w:r>
      </w:hyperlink>
      <w:r>
        <w:rPr>
          <w:color w:val="222222"/>
        </w:rPr>
        <w:t xml:space="preserve"> </w:t>
      </w:r>
    </w:p>
    <w:p w14:paraId="2DE2E904" w14:textId="77777777" w:rsidR="00020AE8" w:rsidRDefault="00000000">
      <w:pPr>
        <w:spacing w:before="240" w:after="240" w:line="360" w:lineRule="auto"/>
        <w:ind w:left="720" w:hanging="720"/>
        <w:jc w:val="both"/>
        <w:rPr>
          <w:color w:val="222222"/>
        </w:rPr>
      </w:pPr>
      <w:r>
        <w:rPr>
          <w:color w:val="222222"/>
        </w:rPr>
        <w:t xml:space="preserve">Compas, B. E., Jaser, S. S., Bettis, A. H., Watson, K. H., Gruhn, M. A., Dunbar, J. P., Williams, E., &amp; Thigpen, J. C. (2017). Coping, emotion regulation, and psychopathology in childhood and adolescence: A meta-analysis and narrative review. </w:t>
      </w:r>
      <w:r>
        <w:rPr>
          <w:i/>
          <w:iCs/>
          <w:color w:val="222222"/>
        </w:rPr>
        <w:t>Psychological Bulletin</w:t>
      </w:r>
      <w:r>
        <w:rPr>
          <w:color w:val="222222"/>
        </w:rPr>
        <w:t xml:space="preserve">, 143(9), 939–991. </w:t>
      </w:r>
      <w:hyperlink r:id="rId23">
        <w:r>
          <w:rPr>
            <w:color w:val="222222"/>
            <w:u w:val="single"/>
          </w:rPr>
          <w:t>https://doi.org/10.1037/bul0000110</w:t>
        </w:r>
      </w:hyperlink>
      <w:r>
        <w:rPr>
          <w:color w:val="222222"/>
        </w:rPr>
        <w:t xml:space="preserve"> </w:t>
      </w:r>
    </w:p>
    <w:p w14:paraId="7511F96B" w14:textId="77777777" w:rsidR="00020AE8" w:rsidRDefault="00000000">
      <w:pPr>
        <w:spacing w:line="297" w:lineRule="auto"/>
        <w:ind w:left="720" w:hanging="720"/>
        <w:jc w:val="both"/>
        <w:rPr>
          <w:color w:val="222222"/>
        </w:rPr>
      </w:pPr>
      <w:r>
        <w:rPr>
          <w:color w:val="222222"/>
        </w:rPr>
        <w:t xml:space="preserve">*Contreras, L., &amp; del Carmen Cano, M. (2016). Child-to-parent violence: The role of exposure to violence and its relationship to social-cognitive processing. </w:t>
      </w:r>
      <w:r>
        <w:rPr>
          <w:i/>
          <w:iCs/>
          <w:color w:val="222222"/>
        </w:rPr>
        <w:t>The European Journal of Psychology Applied to Legal Context</w:t>
      </w:r>
      <w:r>
        <w:rPr>
          <w:color w:val="222222"/>
        </w:rPr>
        <w:t xml:space="preserve">, 8(2), 43-50. </w:t>
      </w:r>
      <w:hyperlink r:id="rId24">
        <w:r>
          <w:rPr>
            <w:color w:val="222222"/>
            <w:u w:val="single"/>
          </w:rPr>
          <w:t>https://doi.org/10.1016/j.ejpal.2016.03.003</w:t>
        </w:r>
      </w:hyperlink>
    </w:p>
    <w:p w14:paraId="4D9A7C33" w14:textId="77777777" w:rsidR="00020AE8" w:rsidRDefault="00000000">
      <w:pPr>
        <w:spacing w:before="240" w:after="240" w:line="360" w:lineRule="auto"/>
        <w:ind w:left="720" w:hanging="720"/>
        <w:jc w:val="both"/>
        <w:rPr>
          <w:color w:val="222222"/>
          <w:u w:val="single"/>
        </w:rPr>
      </w:pPr>
      <w:r>
        <w:rPr>
          <w:color w:val="222222"/>
        </w:rPr>
        <w:t xml:space="preserve">Coronado, J. (2023). Violencia filio-parental: de los hijos a los padres en contextos rurales de Ramiriquí, Boyacá. </w:t>
      </w:r>
      <w:r>
        <w:rPr>
          <w:i/>
          <w:iCs/>
          <w:color w:val="222222"/>
        </w:rPr>
        <w:t>Revista Estudios Psicológicos</w:t>
      </w:r>
      <w:r>
        <w:rPr>
          <w:color w:val="222222"/>
        </w:rPr>
        <w:t xml:space="preserve">, </w:t>
      </w:r>
      <w:r>
        <w:rPr>
          <w:i/>
          <w:iCs/>
          <w:color w:val="222222"/>
        </w:rPr>
        <w:t>3</w:t>
      </w:r>
      <w:r>
        <w:rPr>
          <w:color w:val="222222"/>
        </w:rPr>
        <w:t xml:space="preserve">(2), 7–18. </w:t>
      </w:r>
      <w:hyperlink r:id="rId25">
        <w:r>
          <w:rPr>
            <w:color w:val="222222"/>
            <w:u w:val="single"/>
          </w:rPr>
          <w:t>https://doi.org/10.35622/j.rep.2023.02.001</w:t>
        </w:r>
      </w:hyperlink>
    </w:p>
    <w:p w14:paraId="3A9B93F5" w14:textId="77777777" w:rsidR="00020AE8" w:rsidRDefault="00000000">
      <w:pPr>
        <w:spacing w:before="240" w:after="240" w:line="360" w:lineRule="auto"/>
        <w:ind w:left="720" w:hanging="720"/>
        <w:jc w:val="both"/>
      </w:pPr>
      <w:r>
        <w:rPr>
          <w:color w:val="222222"/>
        </w:rPr>
        <w:t xml:space="preserve">* Cortina, H., &amp; Martín, A. M. (2020). The behavioral specificity of child-to-parent violence. </w:t>
      </w:r>
      <w:r>
        <w:rPr>
          <w:i/>
          <w:iCs/>
          <w:color w:val="222222"/>
        </w:rPr>
        <w:t>Anales de psicologí</w:t>
      </w:r>
      <w:r>
        <w:rPr>
          <w:color w:val="222222"/>
        </w:rPr>
        <w:t xml:space="preserve">a, 36(3), 386-399. </w:t>
      </w:r>
      <w:hyperlink r:id="rId26">
        <w:r>
          <w:rPr>
            <w:u w:val="single"/>
          </w:rPr>
          <w:t>https://doi.org/10.6018/analesps.411301</w:t>
        </w:r>
      </w:hyperlink>
      <w:r>
        <w:t xml:space="preserve"> </w:t>
      </w:r>
    </w:p>
    <w:p w14:paraId="7D87F943" w14:textId="77777777" w:rsidR="00020AE8" w:rsidRDefault="00000000">
      <w:pPr>
        <w:spacing w:before="240" w:after="240" w:line="360" w:lineRule="auto"/>
        <w:ind w:left="720" w:hanging="720"/>
        <w:jc w:val="both"/>
        <w:rPr>
          <w:color w:val="222222"/>
          <w:u w:val="single"/>
        </w:rPr>
      </w:pPr>
      <w:r>
        <w:rPr>
          <w:color w:val="222222"/>
        </w:rPr>
        <w:t xml:space="preserve">Cottrell, B., &amp; Monk, P. (2004). Adolescent-to-parent abuse: A qualitative overview of common themes. </w:t>
      </w:r>
      <w:r>
        <w:rPr>
          <w:i/>
          <w:iCs/>
          <w:color w:val="222222"/>
        </w:rPr>
        <w:t>Journal of Family Issues</w:t>
      </w:r>
      <w:r>
        <w:rPr>
          <w:color w:val="222222"/>
        </w:rPr>
        <w:t xml:space="preserve">, </w:t>
      </w:r>
      <w:r>
        <w:rPr>
          <w:i/>
          <w:iCs/>
          <w:color w:val="222222"/>
        </w:rPr>
        <w:t>25</w:t>
      </w:r>
      <w:r>
        <w:rPr>
          <w:color w:val="222222"/>
        </w:rPr>
        <w:t xml:space="preserve">(8), 1072–1095. </w:t>
      </w:r>
      <w:hyperlink r:id="rId27">
        <w:r>
          <w:rPr>
            <w:color w:val="222222"/>
            <w:u w:val="single"/>
          </w:rPr>
          <w:t>https://doi.org/10.1177/0192513X03261330</w:t>
        </w:r>
      </w:hyperlink>
    </w:p>
    <w:p w14:paraId="647288AE" w14:textId="77777777" w:rsidR="00020AE8" w:rsidRDefault="00000000">
      <w:pPr>
        <w:spacing w:before="240" w:after="240" w:line="360" w:lineRule="auto"/>
        <w:ind w:left="720" w:hanging="720"/>
        <w:jc w:val="both"/>
        <w:rPr>
          <w:color w:val="222222"/>
        </w:rPr>
      </w:pPr>
      <w:r>
        <w:rPr>
          <w:color w:val="222222"/>
        </w:rPr>
        <w:t xml:space="preserve">* Hoyo-Bilbao, J. D., Orue, I., Gámez-Guadix, M., &amp; Calvete, E. (2019). Multivariate Models of Child-to-Mother Violence and Child-to-Father Violence among Adolescents. </w:t>
      </w:r>
      <w:r>
        <w:rPr>
          <w:i/>
          <w:iCs/>
          <w:color w:val="222222"/>
        </w:rPr>
        <w:t>The European Journal of Psychology Applied to Legal Context</w:t>
      </w:r>
      <w:r>
        <w:rPr>
          <w:color w:val="222222"/>
        </w:rPr>
        <w:t xml:space="preserve">, 12(1), 11 - 21. </w:t>
      </w:r>
      <w:hyperlink r:id="rId28">
        <w:r>
          <w:rPr>
            <w:color w:val="222222"/>
            <w:u w:val="single"/>
          </w:rPr>
          <w:t>https://doi.org/10.5093/ejpalc2020a2</w:t>
        </w:r>
      </w:hyperlink>
      <w:r>
        <w:rPr>
          <w:color w:val="222222"/>
        </w:rPr>
        <w:t xml:space="preserve"> </w:t>
      </w:r>
    </w:p>
    <w:p w14:paraId="18F27978" w14:textId="77777777" w:rsidR="00020AE8" w:rsidRDefault="00000000">
      <w:pPr>
        <w:spacing w:before="240" w:after="240" w:line="360" w:lineRule="auto"/>
        <w:ind w:left="720" w:hanging="720"/>
        <w:jc w:val="both"/>
        <w:rPr>
          <w:color w:val="222222"/>
          <w:u w:val="single"/>
        </w:rPr>
      </w:pPr>
      <w:r>
        <w:rPr>
          <w:color w:val="222222"/>
        </w:rPr>
        <w:t xml:space="preserve">Del Moral Arroyo, G., Martínez Ferrer, B., Suárez Relinque, C., Ávila Guerrero, M., y Vera Jiménez, J. A. (2015). Teorías sobre el inicio de la Violencia Filio-Parental desde la perspectiva parental: un estudio exploratorio. </w:t>
      </w:r>
      <w:r>
        <w:rPr>
          <w:i/>
          <w:iCs/>
          <w:color w:val="222222"/>
        </w:rPr>
        <w:t>Pensamiento Psicológico</w:t>
      </w:r>
      <w:r>
        <w:rPr>
          <w:color w:val="222222"/>
        </w:rPr>
        <w:t xml:space="preserve">, </w:t>
      </w:r>
      <w:r>
        <w:rPr>
          <w:i/>
          <w:iCs/>
          <w:color w:val="222222"/>
        </w:rPr>
        <w:t>13</w:t>
      </w:r>
      <w:r>
        <w:rPr>
          <w:color w:val="222222"/>
        </w:rPr>
        <w:t xml:space="preserve">(2), 95–107. </w:t>
      </w:r>
      <w:hyperlink r:id="rId29">
        <w:r>
          <w:rPr>
            <w:color w:val="222222"/>
            <w:u w:val="single"/>
          </w:rPr>
          <w:t>https://doi.org/10.11144/Javerianacali.PPSI13-2.tivf</w:t>
        </w:r>
      </w:hyperlink>
    </w:p>
    <w:p w14:paraId="292AA68B" w14:textId="77777777" w:rsidR="00020AE8" w:rsidRDefault="00000000">
      <w:pPr>
        <w:spacing w:before="240" w:after="240" w:line="360" w:lineRule="auto"/>
        <w:ind w:left="720" w:hanging="720"/>
        <w:jc w:val="both"/>
        <w:rPr>
          <w:color w:val="222222"/>
          <w:u w:val="single"/>
        </w:rPr>
      </w:pPr>
      <w:r>
        <w:rPr>
          <w:color w:val="222222"/>
        </w:rPr>
        <w:lastRenderedPageBreak/>
        <w:t xml:space="preserve">Del Moral, G., Martínez-Ferrer, B., &amp; Musitu, G. (2015). Conducta violenta hacia los progenitores: factores individuales, familiares y sociales. </w:t>
      </w:r>
      <w:r>
        <w:rPr>
          <w:i/>
          <w:iCs/>
          <w:color w:val="222222"/>
        </w:rPr>
        <w:t>Revista Latinoamericana de Psicología</w:t>
      </w:r>
      <w:r>
        <w:rPr>
          <w:color w:val="222222"/>
        </w:rPr>
        <w:t xml:space="preserve">, </w:t>
      </w:r>
      <w:r>
        <w:rPr>
          <w:i/>
          <w:iCs/>
          <w:color w:val="222222"/>
        </w:rPr>
        <w:t>47</w:t>
      </w:r>
      <w:r>
        <w:rPr>
          <w:color w:val="222222"/>
        </w:rPr>
        <w:t xml:space="preserve">(2), 123–132. </w:t>
      </w:r>
      <w:hyperlink r:id="rId30">
        <w:r>
          <w:rPr>
            <w:color w:val="222222"/>
            <w:u w:val="single"/>
          </w:rPr>
          <w:t>https://doi.org/10.1016/j.rlp.2014.08.002</w:t>
        </w:r>
      </w:hyperlink>
    </w:p>
    <w:p w14:paraId="6443F3F1" w14:textId="77777777" w:rsidR="00020AE8" w:rsidRDefault="00000000">
      <w:pPr>
        <w:spacing w:before="240" w:after="240" w:line="360" w:lineRule="auto"/>
        <w:ind w:left="720" w:hanging="720"/>
        <w:jc w:val="both"/>
        <w:rPr>
          <w:color w:val="222222"/>
          <w:u w:val="single"/>
        </w:rPr>
      </w:pPr>
      <w:r>
        <w:rPr>
          <w:color w:val="222222"/>
        </w:rPr>
        <w:t xml:space="preserve">Eisenberg, N., Spinrad, T. L., &amp; Eggum, N. D. (2010). Emotion-related self-regulation and its relation to children's maladjustment. </w:t>
      </w:r>
      <w:r>
        <w:rPr>
          <w:i/>
          <w:iCs/>
          <w:color w:val="222222"/>
        </w:rPr>
        <w:t>Annual Review of Clinical Psychology</w:t>
      </w:r>
      <w:r>
        <w:rPr>
          <w:color w:val="222222"/>
        </w:rPr>
        <w:t xml:space="preserve">, </w:t>
      </w:r>
      <w:r>
        <w:rPr>
          <w:i/>
          <w:iCs/>
          <w:color w:val="222222"/>
        </w:rPr>
        <w:t>6</w:t>
      </w:r>
      <w:r>
        <w:rPr>
          <w:color w:val="222222"/>
        </w:rPr>
        <w:t xml:space="preserve">, 495–525. </w:t>
      </w:r>
      <w:hyperlink r:id="rId31">
        <w:r>
          <w:rPr>
            <w:color w:val="222222"/>
            <w:u w:val="single"/>
          </w:rPr>
          <w:t>https://doi.org/10.1146/annurev.clinpsy.121208.131208</w:t>
        </w:r>
      </w:hyperlink>
    </w:p>
    <w:p w14:paraId="1DF24F67" w14:textId="77777777" w:rsidR="00020AE8" w:rsidRDefault="00000000">
      <w:pPr>
        <w:spacing w:before="240" w:after="240" w:line="360" w:lineRule="auto"/>
        <w:ind w:left="720" w:hanging="720"/>
        <w:jc w:val="both"/>
        <w:rPr>
          <w:color w:val="222222"/>
        </w:rPr>
      </w:pPr>
      <w:r>
        <w:rPr>
          <w:color w:val="222222"/>
        </w:rPr>
        <w:t>Erostarbe, I. I., Jauregizar, J., y Díaz, O. (2007). Violencia filio-parental: conducta violenta de jóvenes hacia sus padres. Servicio Central de Publicaciones del Gobierno Vasco.</w:t>
      </w:r>
    </w:p>
    <w:p w14:paraId="73DCD6A4" w14:textId="77777777" w:rsidR="00020AE8" w:rsidRDefault="00000000">
      <w:pPr>
        <w:spacing w:before="240" w:after="240" w:line="360" w:lineRule="auto"/>
        <w:ind w:left="720" w:hanging="720"/>
        <w:jc w:val="both"/>
        <w:rPr>
          <w:color w:val="222222"/>
        </w:rPr>
      </w:pPr>
      <w:r>
        <w:rPr>
          <w:color w:val="222222"/>
        </w:rPr>
        <w:t xml:space="preserve">* Gao, L., Kong, F., Zhang, Z., &amp; Wang, X. (2026). Lifting the veil of silence: Parental harsh discipline predicts adolescent-to-parent violence. </w:t>
      </w:r>
      <w:r>
        <w:rPr>
          <w:i/>
          <w:iCs/>
          <w:color w:val="222222"/>
        </w:rPr>
        <w:t>Journal of Family Violence, 41</w:t>
      </w:r>
      <w:r>
        <w:rPr>
          <w:color w:val="222222"/>
        </w:rPr>
        <w:t>(2), 237-251. https://doi.org/10.1007/s10896-024-00753-5</w:t>
      </w:r>
    </w:p>
    <w:p w14:paraId="7A234291" w14:textId="77777777" w:rsidR="00020AE8" w:rsidRDefault="00000000">
      <w:pPr>
        <w:spacing w:before="240" w:after="240" w:line="360" w:lineRule="auto"/>
        <w:ind w:left="720" w:hanging="720"/>
        <w:jc w:val="both"/>
        <w:rPr>
          <w:color w:val="222222"/>
          <w:u w:val="single"/>
        </w:rPr>
      </w:pPr>
      <w:r>
        <w:rPr>
          <w:color w:val="222222"/>
        </w:rPr>
        <w:t xml:space="preserve">Gross, J. J. (2015). Emotion regulation: Current status and future prospects. </w:t>
      </w:r>
      <w:r>
        <w:rPr>
          <w:i/>
          <w:iCs/>
          <w:color w:val="222222"/>
        </w:rPr>
        <w:t>Psychological Inquiry</w:t>
      </w:r>
      <w:r>
        <w:rPr>
          <w:color w:val="222222"/>
        </w:rPr>
        <w:t xml:space="preserve">, </w:t>
      </w:r>
      <w:r>
        <w:rPr>
          <w:i/>
          <w:iCs/>
          <w:color w:val="222222"/>
        </w:rPr>
        <w:t>26</w:t>
      </w:r>
      <w:r>
        <w:rPr>
          <w:color w:val="222222"/>
        </w:rPr>
        <w:t xml:space="preserve">(1), 1–26. </w:t>
      </w:r>
      <w:hyperlink r:id="rId32">
        <w:r>
          <w:rPr>
            <w:color w:val="222222"/>
            <w:u w:val="single"/>
          </w:rPr>
          <w:t>https://doi.org/10.1080/1047840X.2014.940781</w:t>
        </w:r>
      </w:hyperlink>
    </w:p>
    <w:p w14:paraId="35BDB195" w14:textId="77777777" w:rsidR="00020AE8" w:rsidRDefault="00000000">
      <w:pPr>
        <w:spacing w:before="240" w:after="240" w:line="360" w:lineRule="auto"/>
        <w:ind w:left="720" w:hanging="720"/>
        <w:jc w:val="both"/>
        <w:rPr>
          <w:color w:val="222222"/>
          <w:u w:val="single"/>
        </w:rPr>
      </w:pPr>
      <w:r>
        <w:rPr>
          <w:color w:val="222222"/>
        </w:rPr>
        <w:t xml:space="preserve">Gross, J. J., &amp; Jazaieri, H. (2014). Emotion, emotion regulation, and psychopathology. </w:t>
      </w:r>
      <w:r>
        <w:rPr>
          <w:i/>
          <w:iCs/>
          <w:color w:val="222222"/>
        </w:rPr>
        <w:t>Clinical Psychological Science</w:t>
      </w:r>
      <w:r>
        <w:rPr>
          <w:color w:val="222222"/>
        </w:rPr>
        <w:t xml:space="preserve">, </w:t>
      </w:r>
      <w:r>
        <w:rPr>
          <w:i/>
          <w:iCs/>
          <w:color w:val="222222"/>
        </w:rPr>
        <w:t>2</w:t>
      </w:r>
      <w:r>
        <w:rPr>
          <w:color w:val="222222"/>
        </w:rPr>
        <w:t xml:space="preserve">(4), 387–401. </w:t>
      </w:r>
      <w:hyperlink r:id="rId33">
        <w:r>
          <w:rPr>
            <w:color w:val="222222"/>
            <w:u w:val="single"/>
          </w:rPr>
          <w:t>https://doi.org/10.1177/2167702614536164</w:t>
        </w:r>
      </w:hyperlink>
    </w:p>
    <w:p w14:paraId="4952732D" w14:textId="77777777" w:rsidR="00020AE8" w:rsidRDefault="00000000">
      <w:pPr>
        <w:spacing w:before="240" w:after="240" w:line="360" w:lineRule="auto"/>
        <w:ind w:left="720" w:hanging="720"/>
        <w:jc w:val="both"/>
        <w:rPr>
          <w:color w:val="222222"/>
          <w:u w:val="single"/>
        </w:rPr>
      </w:pPr>
      <w:r>
        <w:rPr>
          <w:color w:val="222222"/>
        </w:rPr>
        <w:t xml:space="preserve">Gualdi-Russo, E., &amp; Zaccagni, L. (2026). The Newcastle–Ottawa Scale for assessing the quality of studies in systematic reviews. </w:t>
      </w:r>
      <w:r>
        <w:rPr>
          <w:i/>
          <w:iCs/>
          <w:color w:val="222222"/>
        </w:rPr>
        <w:t>Publications</w:t>
      </w:r>
      <w:r>
        <w:rPr>
          <w:color w:val="222222"/>
        </w:rPr>
        <w:t xml:space="preserve">, </w:t>
      </w:r>
      <w:r>
        <w:rPr>
          <w:i/>
          <w:iCs/>
          <w:color w:val="222222"/>
        </w:rPr>
        <w:t>14</w:t>
      </w:r>
      <w:r>
        <w:rPr>
          <w:color w:val="222222"/>
        </w:rPr>
        <w:t xml:space="preserve">(1), 4. </w:t>
      </w:r>
      <w:hyperlink r:id="rId34">
        <w:r>
          <w:rPr>
            <w:color w:val="222222"/>
            <w:u w:val="single"/>
          </w:rPr>
          <w:t>https://doi.org/10.3390/publications14010004</w:t>
        </w:r>
      </w:hyperlink>
    </w:p>
    <w:p w14:paraId="7B195B36" w14:textId="77777777" w:rsidR="00020AE8" w:rsidRDefault="00000000">
      <w:pPr>
        <w:spacing w:before="240" w:after="240" w:line="360" w:lineRule="auto"/>
        <w:ind w:left="720" w:hanging="720"/>
        <w:jc w:val="both"/>
        <w:rPr>
          <w:color w:val="222222"/>
        </w:rPr>
      </w:pPr>
      <w:r>
        <w:rPr>
          <w:color w:val="222222"/>
        </w:rPr>
        <w:t xml:space="preserve">Hernández-Sampieri, R., y Mendoza, C. (2018). </w:t>
      </w:r>
      <w:r>
        <w:rPr>
          <w:i/>
          <w:iCs/>
          <w:color w:val="222222"/>
        </w:rPr>
        <w:t>Metodología de la investigación: las rutas cuantitativa, cualitativa y mixta</w:t>
      </w:r>
      <w:r>
        <w:rPr>
          <w:color w:val="222222"/>
        </w:rPr>
        <w:t>. McGraw Hill.</w:t>
      </w:r>
    </w:p>
    <w:p w14:paraId="16CD2CF7" w14:textId="77777777" w:rsidR="00020AE8" w:rsidRDefault="00000000">
      <w:pPr>
        <w:spacing w:before="240" w:after="240" w:line="360" w:lineRule="auto"/>
        <w:ind w:left="720" w:hanging="720"/>
        <w:jc w:val="both"/>
        <w:rPr>
          <w:color w:val="222222"/>
        </w:rPr>
      </w:pPr>
      <w:r>
        <w:rPr>
          <w:color w:val="222222"/>
        </w:rPr>
        <w:t xml:space="preserve">Herts, K. L., McLaughlin, K. A. &amp; Hatzenbuehler, M. L. (2012). Emotion Dysregulation as a Mechanism Linking Stress Exposure to Adolescent Aggressive Behavior. </w:t>
      </w:r>
      <w:r>
        <w:rPr>
          <w:i/>
          <w:iCs/>
          <w:color w:val="222222"/>
        </w:rPr>
        <w:t>J Abnorm Child Psychol</w:t>
      </w:r>
      <w:r>
        <w:rPr>
          <w:color w:val="222222"/>
        </w:rPr>
        <w:t xml:space="preserve"> 40, 1111-1122. </w:t>
      </w:r>
      <w:hyperlink r:id="rId35">
        <w:r>
          <w:rPr>
            <w:color w:val="222222"/>
            <w:u w:val="single"/>
          </w:rPr>
          <w:t>https://doi.org/10.1007/s10802-012-9629-4</w:t>
        </w:r>
      </w:hyperlink>
    </w:p>
    <w:p w14:paraId="5842CD6E" w14:textId="77777777" w:rsidR="00020AE8" w:rsidRDefault="00000000">
      <w:pPr>
        <w:spacing w:line="297" w:lineRule="auto"/>
        <w:ind w:left="720" w:hanging="720"/>
        <w:jc w:val="both"/>
        <w:rPr>
          <w:rFonts w:ascii="Arial" w:eastAsia="Arial" w:hAnsi="Arial" w:cs="Arial"/>
          <w:color w:val="222222"/>
          <w:sz w:val="20"/>
          <w:szCs w:val="20"/>
        </w:rPr>
      </w:pPr>
      <w:r>
        <w:rPr>
          <w:color w:val="222222"/>
        </w:rPr>
        <w:t xml:space="preserve">Ibabe, I. (2014). Direct and indirect effects of family violence on child-to-parent violence/Efectos directos e indirectos de la violencia familiar sobre la violencia filio-parental. </w:t>
      </w:r>
      <w:r>
        <w:rPr>
          <w:i/>
          <w:iCs/>
          <w:color w:val="222222"/>
        </w:rPr>
        <w:t>Studies in Psychology</w:t>
      </w:r>
      <w:r>
        <w:rPr>
          <w:color w:val="222222"/>
        </w:rPr>
        <w:t>, 35(1), 137-167.</w:t>
      </w:r>
    </w:p>
    <w:p w14:paraId="15CFDCAA" w14:textId="77777777" w:rsidR="00020AE8" w:rsidRDefault="00000000">
      <w:pPr>
        <w:spacing w:before="240" w:after="240" w:line="360" w:lineRule="auto"/>
        <w:ind w:left="720" w:hanging="720"/>
        <w:jc w:val="both"/>
        <w:rPr>
          <w:color w:val="222222"/>
        </w:rPr>
      </w:pPr>
      <w:r>
        <w:rPr>
          <w:color w:val="222222"/>
        </w:rPr>
        <w:t xml:space="preserve">Jiménez Arroyo, J. (2023). </w:t>
      </w:r>
      <w:r>
        <w:rPr>
          <w:i/>
          <w:iCs/>
          <w:color w:val="222222"/>
        </w:rPr>
        <w:t>Violencia filio-parental: aspectos penales, procesales y criminológicos</w:t>
      </w:r>
      <w:r>
        <w:rPr>
          <w:color w:val="222222"/>
        </w:rPr>
        <w:t>. Dykinson.</w:t>
      </w:r>
    </w:p>
    <w:p w14:paraId="62512838" w14:textId="77777777" w:rsidR="00020AE8" w:rsidRDefault="00000000">
      <w:pPr>
        <w:spacing w:before="240" w:after="240" w:line="360" w:lineRule="auto"/>
        <w:ind w:left="720" w:hanging="720"/>
        <w:jc w:val="both"/>
        <w:rPr>
          <w:color w:val="222222"/>
        </w:rPr>
      </w:pPr>
      <w:r>
        <w:rPr>
          <w:color w:val="222222"/>
        </w:rPr>
        <w:lastRenderedPageBreak/>
        <w:t xml:space="preserve">* Jiménez García-Escribano, M. (2020). </w:t>
      </w:r>
      <w:r>
        <w:rPr>
          <w:i/>
          <w:iCs/>
          <w:color w:val="222222"/>
        </w:rPr>
        <w:t>Análisis de la violencia filio-parental: prevalencia y claves en el estudio del fenómeno en Chile</w:t>
      </w:r>
      <w:r>
        <w:rPr>
          <w:color w:val="222222"/>
        </w:rPr>
        <w:t xml:space="preserve"> [Tesis doctoral, Universidad de Jaén]. </w:t>
      </w:r>
    </w:p>
    <w:p w14:paraId="5E80CA9A" w14:textId="77777777" w:rsidR="00020AE8" w:rsidRDefault="00000000">
      <w:pPr>
        <w:spacing w:before="240" w:after="240" w:line="360" w:lineRule="auto"/>
        <w:ind w:left="720" w:hanging="720"/>
        <w:jc w:val="both"/>
        <w:rPr>
          <w:color w:val="222222"/>
        </w:rPr>
      </w:pPr>
      <w:r>
        <w:rPr>
          <w:color w:val="222222"/>
        </w:rPr>
        <w:t xml:space="preserve">* Jiménez-Granado, A., Del Hoyo-Bilbao, J., &amp; Fernández-González, L. (2023). Interaction of parental discipline strategies and adolescents’ personality traits in the prediction of child-to-parent violence. </w:t>
      </w:r>
      <w:r>
        <w:rPr>
          <w:i/>
          <w:iCs/>
          <w:color w:val="222222"/>
        </w:rPr>
        <w:t>European Journal of Psychology Applied to Legal Context,</w:t>
      </w:r>
      <w:r>
        <w:rPr>
          <w:color w:val="222222"/>
        </w:rPr>
        <w:t xml:space="preserve"> 15(1), 43-52. </w:t>
      </w:r>
      <w:hyperlink r:id="rId36">
        <w:r>
          <w:rPr>
            <w:color w:val="222222"/>
            <w:u w:val="single"/>
          </w:rPr>
          <w:t>https://doi.org/10.5093/ejpalc2023a5</w:t>
        </w:r>
      </w:hyperlink>
      <w:r>
        <w:rPr>
          <w:color w:val="222222"/>
        </w:rPr>
        <w:t xml:space="preserve"> </w:t>
      </w:r>
    </w:p>
    <w:p w14:paraId="0DE9631F" w14:textId="77777777" w:rsidR="00020AE8" w:rsidRDefault="00000000">
      <w:pPr>
        <w:spacing w:after="240" w:line="360" w:lineRule="auto"/>
        <w:ind w:left="720" w:hanging="720"/>
        <w:jc w:val="both"/>
        <w:rPr>
          <w:rFonts w:ascii="Arial" w:eastAsia="Arial" w:hAnsi="Arial" w:cs="Arial"/>
          <w:u w:val="single"/>
        </w:rPr>
      </w:pPr>
      <w:r>
        <w:rPr>
          <w:color w:val="222222"/>
        </w:rPr>
        <w:t xml:space="preserve">Kennedy, T. D., Edmonds, W. A., Dann, K. T., &amp; Burnett, K. F. (2010). The clinical and adaptive features of young offenders with histories of child-parent violence. </w:t>
      </w:r>
      <w:r>
        <w:rPr>
          <w:i/>
          <w:iCs/>
          <w:color w:val="222222"/>
        </w:rPr>
        <w:t>Journal of family violence, 25</w:t>
      </w:r>
      <w:r>
        <w:rPr>
          <w:color w:val="222222"/>
        </w:rPr>
        <w:t>(5), 509-520.</w:t>
      </w:r>
      <w:hyperlink r:id="rId37">
        <w:r>
          <w:rPr>
            <w:u w:val="single"/>
          </w:rPr>
          <w:t>https://doi.org/10.1007/s10896-010-9312-x</w:t>
        </w:r>
      </w:hyperlink>
      <w:r>
        <w:rPr>
          <w:u w:val="single"/>
        </w:rPr>
        <w:t xml:space="preserve"> </w:t>
      </w:r>
    </w:p>
    <w:p w14:paraId="4D8C4253" w14:textId="77777777" w:rsidR="00020AE8" w:rsidRDefault="00000000">
      <w:pPr>
        <w:spacing w:before="240" w:after="240" w:line="360" w:lineRule="auto"/>
        <w:ind w:left="720" w:hanging="720"/>
        <w:jc w:val="both"/>
        <w:rPr>
          <w:u w:val="single"/>
        </w:rPr>
      </w:pPr>
      <w:r>
        <w:t xml:space="preserve">Laurent, A., &amp; Derry, A. (1999). Violence of French adolescents towards their parents: Characteristics and contexts. </w:t>
      </w:r>
      <w:r>
        <w:rPr>
          <w:i/>
          <w:iCs/>
        </w:rPr>
        <w:t>Journal of Adolescent Health</w:t>
      </w:r>
      <w:r>
        <w:t xml:space="preserve">, </w:t>
      </w:r>
      <w:r>
        <w:rPr>
          <w:i/>
          <w:iCs/>
        </w:rPr>
        <w:t>25</w:t>
      </w:r>
      <w:r>
        <w:t xml:space="preserve">, 21–26. </w:t>
      </w:r>
      <w:hyperlink r:id="rId38">
        <w:r>
          <w:rPr>
            <w:u w:val="single"/>
          </w:rPr>
          <w:t>https://doi.org/10.1016/S1054-139X(98)00134-7</w:t>
        </w:r>
      </w:hyperlink>
    </w:p>
    <w:p w14:paraId="18D94E7C" w14:textId="77777777" w:rsidR="00020AE8" w:rsidRDefault="00000000">
      <w:pPr>
        <w:spacing w:before="240" w:after="240" w:line="360" w:lineRule="auto"/>
        <w:ind w:left="720" w:hanging="720"/>
        <w:jc w:val="both"/>
      </w:pPr>
      <w:r>
        <w:t xml:space="preserve">* Loinaz Calvo, I., Barboni, L., &amp; Ma de Sousa, A. (2020). Gender differences in child to parent violence risk factors. </w:t>
      </w:r>
      <w:r>
        <w:rPr>
          <w:i/>
          <w:iCs/>
        </w:rPr>
        <w:t>Anales de Psicologí</w:t>
      </w:r>
      <w:r>
        <w:t>a, 36(3)</w:t>
      </w:r>
      <w:r>
        <w:rPr>
          <w:highlight w:val="white"/>
        </w:rPr>
        <w:t xml:space="preserve">, 408-417. </w:t>
      </w:r>
      <w:hyperlink r:id="rId39">
        <w:r>
          <w:rPr>
            <w:highlight w:val="white"/>
            <w:u w:val="single"/>
          </w:rPr>
          <w:t>https://doi.org/10.6018/analesps.428531</w:t>
        </w:r>
      </w:hyperlink>
      <w:r>
        <w:rPr>
          <w:highlight w:val="white"/>
        </w:rPr>
        <w:t xml:space="preserve"> </w:t>
      </w:r>
    </w:p>
    <w:p w14:paraId="63A4A6D6" w14:textId="77777777" w:rsidR="00020AE8" w:rsidRDefault="00000000">
      <w:pPr>
        <w:spacing w:before="240" w:after="240" w:line="360" w:lineRule="auto"/>
        <w:ind w:left="720" w:hanging="720"/>
        <w:jc w:val="both"/>
      </w:pPr>
      <w:r>
        <w:rPr>
          <w:color w:val="222222"/>
        </w:rPr>
        <w:t xml:space="preserve">* Loinaz Calvo, I., &amp; Ma de Sousa, A. (2020). Assessing risk and protective factors in clinical and judicial child-to-parent violence cases. </w:t>
      </w:r>
      <w:r>
        <w:rPr>
          <w:i/>
          <w:iCs/>
          <w:color w:val="222222"/>
        </w:rPr>
        <w:t>The European Journal of Psychology Applied to the Legal Context,</w:t>
      </w:r>
      <w:r>
        <w:rPr>
          <w:color w:val="222222"/>
        </w:rPr>
        <w:t xml:space="preserve"> 12(1), 43-51.</w:t>
      </w:r>
      <w:r>
        <w:t xml:space="preserve"> </w:t>
      </w:r>
      <w:hyperlink r:id="rId40">
        <w:r>
          <w:rPr>
            <w:u w:val="single"/>
          </w:rPr>
          <w:t>https://doi.org/10.5093/ejpalc2020a5</w:t>
        </w:r>
      </w:hyperlink>
      <w:r>
        <w:t xml:space="preserve"> </w:t>
      </w:r>
    </w:p>
    <w:p w14:paraId="3EA15DFF" w14:textId="77777777" w:rsidR="00020AE8" w:rsidRDefault="00000000">
      <w:pPr>
        <w:spacing w:before="240" w:after="240" w:line="360" w:lineRule="auto"/>
        <w:ind w:left="720" w:hanging="720"/>
        <w:jc w:val="both"/>
        <w:rPr>
          <w:color w:val="222222"/>
          <w:u w:val="single"/>
        </w:rPr>
      </w:pPr>
      <w:r>
        <w:rPr>
          <w:color w:val="222222"/>
        </w:rPr>
        <w:t xml:space="preserve">Long, H. A., French, D. P., &amp; Brooks, J. M. (2020). Optimising the value of the Critical Appraisal Skills Programme (CASP) tool for quality appraisal in qualitative evidence synthesis. </w:t>
      </w:r>
      <w:r>
        <w:rPr>
          <w:i/>
          <w:iCs/>
          <w:color w:val="222222"/>
        </w:rPr>
        <w:t>Research Methods in Medicine &amp; Health Sciences</w:t>
      </w:r>
      <w:r>
        <w:rPr>
          <w:color w:val="222222"/>
        </w:rPr>
        <w:t xml:space="preserve">, </w:t>
      </w:r>
      <w:r>
        <w:rPr>
          <w:i/>
          <w:iCs/>
          <w:color w:val="222222"/>
        </w:rPr>
        <w:t>1</w:t>
      </w:r>
      <w:r>
        <w:rPr>
          <w:color w:val="222222"/>
        </w:rPr>
        <w:t xml:space="preserve">(1), 31–42. </w:t>
      </w:r>
      <w:hyperlink r:id="rId41">
        <w:r>
          <w:rPr>
            <w:color w:val="222222"/>
            <w:u w:val="single"/>
          </w:rPr>
          <w:t>https://doi.org/10.1177/2632084320947559</w:t>
        </w:r>
      </w:hyperlink>
    </w:p>
    <w:p w14:paraId="4F9FDBF3" w14:textId="77777777" w:rsidR="00020AE8" w:rsidRDefault="00000000">
      <w:pPr>
        <w:spacing w:before="240" w:after="240" w:line="360" w:lineRule="auto"/>
        <w:ind w:left="720" w:hanging="720"/>
        <w:jc w:val="both"/>
        <w:rPr>
          <w:color w:val="222222"/>
        </w:rPr>
      </w:pPr>
      <w:r>
        <w:rPr>
          <w:color w:val="222222"/>
        </w:rPr>
        <w:t xml:space="preserve">Losada, A. V. (2015). </w:t>
      </w:r>
      <w:r>
        <w:rPr>
          <w:i/>
          <w:iCs/>
          <w:color w:val="222222"/>
        </w:rPr>
        <w:t>Familia y psicología</w:t>
      </w:r>
      <w:r>
        <w:rPr>
          <w:color w:val="222222"/>
        </w:rPr>
        <w:t>. Dunken.</w:t>
      </w:r>
    </w:p>
    <w:p w14:paraId="42C5CAB9" w14:textId="77777777" w:rsidR="00020AE8" w:rsidRDefault="00000000">
      <w:pPr>
        <w:spacing w:before="240" w:after="240" w:line="360" w:lineRule="auto"/>
        <w:ind w:left="720" w:hanging="720"/>
        <w:jc w:val="both"/>
        <w:rPr>
          <w:color w:val="222222"/>
        </w:rPr>
      </w:pPr>
      <w:r>
        <w:rPr>
          <w:color w:val="222222"/>
        </w:rPr>
        <w:t xml:space="preserve">Losada, A. V., y Marmo, J. (2017). </w:t>
      </w:r>
      <w:r>
        <w:rPr>
          <w:i/>
          <w:iCs/>
          <w:color w:val="222222"/>
        </w:rPr>
        <w:t>Hacia la comprensión de los procesos familiares</w:t>
      </w:r>
      <w:r>
        <w:rPr>
          <w:color w:val="222222"/>
        </w:rPr>
        <w:t>. Dunken.</w:t>
      </w:r>
    </w:p>
    <w:p w14:paraId="38FF060E" w14:textId="77777777" w:rsidR="00020AE8" w:rsidRDefault="00000000">
      <w:pPr>
        <w:spacing w:before="240" w:after="240" w:line="360" w:lineRule="auto"/>
        <w:ind w:left="720" w:hanging="720"/>
        <w:jc w:val="both"/>
        <w:rPr>
          <w:color w:val="222222"/>
        </w:rPr>
      </w:pPr>
      <w:r>
        <w:rPr>
          <w:color w:val="222222"/>
        </w:rPr>
        <w:t xml:space="preserve">Losada, A. V., y Marmo, J. (2019). </w:t>
      </w:r>
      <w:r>
        <w:rPr>
          <w:i/>
          <w:iCs/>
          <w:color w:val="222222"/>
        </w:rPr>
        <w:t>Manual de psicología de la familia</w:t>
      </w:r>
      <w:r>
        <w:rPr>
          <w:color w:val="222222"/>
        </w:rPr>
        <w:t>. Educa.</w:t>
      </w:r>
    </w:p>
    <w:p w14:paraId="2A9821AD" w14:textId="77777777" w:rsidR="00020AE8" w:rsidRDefault="00000000">
      <w:pPr>
        <w:spacing w:before="240" w:after="240" w:line="360" w:lineRule="auto"/>
        <w:ind w:left="720" w:hanging="720"/>
        <w:jc w:val="both"/>
        <w:rPr>
          <w:color w:val="222222"/>
          <w:u w:val="single"/>
        </w:rPr>
      </w:pPr>
      <w:r>
        <w:rPr>
          <w:color w:val="222222"/>
        </w:rPr>
        <w:t xml:space="preserve">Losada, A. V., Zambrano Villalba, C., y Marmo, J. (2022). Clasificación de métodos de investigación en psicología. </w:t>
      </w:r>
      <w:r>
        <w:rPr>
          <w:i/>
          <w:iCs/>
          <w:color w:val="222222"/>
        </w:rPr>
        <w:t>Psicología UNEMI</w:t>
      </w:r>
      <w:r>
        <w:rPr>
          <w:color w:val="222222"/>
        </w:rPr>
        <w:t xml:space="preserve">, </w:t>
      </w:r>
      <w:r>
        <w:rPr>
          <w:i/>
          <w:iCs/>
          <w:color w:val="222222"/>
        </w:rPr>
        <w:t>6</w:t>
      </w:r>
      <w:r>
        <w:rPr>
          <w:color w:val="222222"/>
        </w:rPr>
        <w:t xml:space="preserve">(11), 13–31. </w:t>
      </w:r>
      <w:hyperlink r:id="rId42">
        <w:r>
          <w:rPr>
            <w:color w:val="222222"/>
            <w:u w:val="single"/>
          </w:rPr>
          <w:t>https://doi.org/10.29076/issn.2602-8379vol6iss11.2022pp13-31p</w:t>
        </w:r>
      </w:hyperlink>
    </w:p>
    <w:p w14:paraId="2950B47A" w14:textId="77777777" w:rsidR="00020AE8" w:rsidRDefault="00000000">
      <w:pPr>
        <w:spacing w:before="240" w:after="240" w:line="360" w:lineRule="auto"/>
        <w:ind w:left="720" w:hanging="720"/>
        <w:jc w:val="both"/>
        <w:rPr>
          <w:color w:val="222222"/>
          <w:u w:val="single"/>
        </w:rPr>
      </w:pPr>
      <w:r>
        <w:rPr>
          <w:color w:val="222222"/>
        </w:rPr>
        <w:lastRenderedPageBreak/>
        <w:t xml:space="preserve">Marmo, J., Losada, A. V., &amp; Zambrano-Villalba, C. (2022). Propuestas metodológicas en estudios de revisión sistemática, metasíntesis y metaanálisis. </w:t>
      </w:r>
      <w:r>
        <w:rPr>
          <w:i/>
          <w:iCs/>
          <w:color w:val="222222"/>
        </w:rPr>
        <w:t>Psicología UNEMI</w:t>
      </w:r>
      <w:r>
        <w:rPr>
          <w:color w:val="222222"/>
        </w:rPr>
        <w:t xml:space="preserve">, </w:t>
      </w:r>
      <w:r>
        <w:rPr>
          <w:i/>
          <w:iCs/>
          <w:color w:val="222222"/>
        </w:rPr>
        <w:t>6</w:t>
      </w:r>
      <w:r>
        <w:rPr>
          <w:color w:val="222222"/>
        </w:rPr>
        <w:t xml:space="preserve">(11), 32–43. </w:t>
      </w:r>
      <w:hyperlink r:id="rId43">
        <w:r>
          <w:rPr>
            <w:color w:val="222222"/>
            <w:u w:val="single"/>
          </w:rPr>
          <w:t>https://doi.org/10.29076/issn.2602-8379vol6iss11.2022pp32-43p</w:t>
        </w:r>
      </w:hyperlink>
    </w:p>
    <w:p w14:paraId="182882DE" w14:textId="77777777" w:rsidR="00020AE8" w:rsidRDefault="00000000">
      <w:pPr>
        <w:spacing w:before="240" w:after="240" w:line="360" w:lineRule="auto"/>
        <w:ind w:left="720" w:hanging="720"/>
        <w:jc w:val="both"/>
        <w:rPr>
          <w:color w:val="222222"/>
          <w:highlight w:val="yellow"/>
        </w:rPr>
      </w:pPr>
      <w:r>
        <w:rPr>
          <w:color w:val="222222"/>
        </w:rPr>
        <w:t>Martínez, M. L., Estévez, E., Jiménez, T. I., y Velilla, C. (2015). Violencia filio-parental: principales características, factores de riesgo y claves para la intervención. P</w:t>
      </w:r>
      <w:r>
        <w:rPr>
          <w:i/>
          <w:iCs/>
          <w:color w:val="222222"/>
        </w:rPr>
        <w:t>apeles del Psicólogo, 36</w:t>
      </w:r>
      <w:r>
        <w:rPr>
          <w:color w:val="222222"/>
        </w:rPr>
        <w:t>(3), 216-223.</w:t>
      </w:r>
    </w:p>
    <w:p w14:paraId="65312A41" w14:textId="77777777" w:rsidR="00020AE8" w:rsidRDefault="00000000">
      <w:pPr>
        <w:spacing w:before="240" w:after="240" w:line="360" w:lineRule="auto"/>
        <w:ind w:left="720" w:hanging="720"/>
        <w:jc w:val="both"/>
      </w:pPr>
      <w:r>
        <w:rPr>
          <w:color w:val="222222"/>
        </w:rPr>
        <w:t xml:space="preserve">* Martínez-Ferrer, B., Romero-Abrio, A., Moreno-Ruiz, D., &amp; Musitu, G. (2018). Child-to-parent violence and parenting styles: Its relations to problematic use of social networking sites, alexithymia, and attitude towards institutional authority in adolescence. </w:t>
      </w:r>
      <w:r>
        <w:rPr>
          <w:i/>
          <w:iCs/>
          <w:color w:val="222222"/>
        </w:rPr>
        <w:t>Psychosocial Intervention</w:t>
      </w:r>
      <w:r>
        <w:rPr>
          <w:color w:val="222222"/>
        </w:rPr>
        <w:t xml:space="preserve">, 27, 163-171. </w:t>
      </w:r>
      <w:hyperlink r:id="rId44">
        <w:r>
          <w:rPr>
            <w:u w:val="single"/>
          </w:rPr>
          <w:t>https://www.doi.org/10.5093/pi2018a24</w:t>
        </w:r>
      </w:hyperlink>
      <w:r>
        <w:t xml:space="preserve"> </w:t>
      </w:r>
    </w:p>
    <w:p w14:paraId="2A2EF4E1" w14:textId="77777777" w:rsidR="00020AE8" w:rsidRDefault="00000000">
      <w:pPr>
        <w:spacing w:before="240" w:after="240" w:line="360" w:lineRule="auto"/>
        <w:ind w:left="720" w:hanging="720"/>
        <w:jc w:val="both"/>
        <w:rPr>
          <w:color w:val="222222"/>
          <w:u w:val="single"/>
        </w:rPr>
      </w:pPr>
      <w:r>
        <w:rPr>
          <w:color w:val="222222"/>
        </w:rPr>
        <w:t xml:space="preserve">Milozzi, S. (2018). </w:t>
      </w:r>
      <w:r>
        <w:rPr>
          <w:i/>
          <w:iCs/>
          <w:color w:val="222222"/>
        </w:rPr>
        <w:t xml:space="preserve">Trastorno negativista desafiante y apego: factores específicos de la conducta parental concordantes con la presencia de patrones comportamentales congruentes con trastorno negativista desafiante. </w:t>
      </w:r>
      <w:r>
        <w:rPr>
          <w:color w:val="222222"/>
        </w:rPr>
        <w:t xml:space="preserve">Universidad del Salvador. [Tesis doctoral]. </w:t>
      </w:r>
      <w:hyperlink r:id="rId45">
        <w:r>
          <w:rPr>
            <w:color w:val="222222"/>
            <w:u w:val="single"/>
          </w:rPr>
          <w:t>https://doi.org/10.13140/RG.2.2.12277.70884</w:t>
        </w:r>
      </w:hyperlink>
    </w:p>
    <w:p w14:paraId="6675197A" w14:textId="77777777" w:rsidR="00020AE8" w:rsidRDefault="00000000">
      <w:pPr>
        <w:spacing w:before="240" w:after="240" w:line="360" w:lineRule="auto"/>
        <w:ind w:left="720" w:hanging="720"/>
        <w:jc w:val="both"/>
        <w:rPr>
          <w:color w:val="222222"/>
        </w:rPr>
      </w:pPr>
      <w:r>
        <w:rPr>
          <w:color w:val="222222"/>
        </w:rPr>
        <w:t xml:space="preserve">Milozzi, S. (2025). </w:t>
      </w:r>
      <w:r>
        <w:rPr>
          <w:i/>
          <w:iCs/>
          <w:color w:val="222222"/>
        </w:rPr>
        <w:t>Mi hijo no se regula</w:t>
      </w:r>
      <w:r>
        <w:rPr>
          <w:color w:val="222222"/>
        </w:rPr>
        <w:t>. Dunken.</w:t>
      </w:r>
    </w:p>
    <w:p w14:paraId="355F50F0" w14:textId="77777777" w:rsidR="00020AE8" w:rsidRDefault="00000000">
      <w:pPr>
        <w:spacing w:before="240" w:after="240" w:line="360" w:lineRule="auto"/>
        <w:ind w:left="720" w:hanging="720"/>
        <w:jc w:val="both"/>
        <w:rPr>
          <w:color w:val="222222"/>
          <w:u w:val="single"/>
        </w:rPr>
      </w:pPr>
      <w:r>
        <w:rPr>
          <w:color w:val="222222"/>
        </w:rPr>
        <w:t xml:space="preserve">Milozzi, S., &amp; Marmo, J. (2021). Revisión sistemática sobre la relación entre apego y regulación emocional. </w:t>
      </w:r>
      <w:r>
        <w:rPr>
          <w:i/>
          <w:iCs/>
          <w:color w:val="222222"/>
        </w:rPr>
        <w:t>Psicología UNEMI</w:t>
      </w:r>
      <w:r>
        <w:rPr>
          <w:color w:val="222222"/>
        </w:rPr>
        <w:t xml:space="preserve">, </w:t>
      </w:r>
      <w:r>
        <w:rPr>
          <w:i/>
          <w:iCs/>
          <w:color w:val="222222"/>
        </w:rPr>
        <w:t>6</w:t>
      </w:r>
      <w:r>
        <w:rPr>
          <w:color w:val="222222"/>
        </w:rPr>
        <w:t xml:space="preserve">(11), 70–86. </w:t>
      </w:r>
      <w:hyperlink r:id="rId46">
        <w:r>
          <w:rPr>
            <w:color w:val="222222"/>
            <w:u w:val="single"/>
          </w:rPr>
          <w:t>https://doi.org/10.29076/issn.2602-8379vol6iss11.2022pp70-86p</w:t>
        </w:r>
      </w:hyperlink>
    </w:p>
    <w:p w14:paraId="24B0C515" w14:textId="77777777" w:rsidR="00020AE8" w:rsidRDefault="00000000">
      <w:pPr>
        <w:spacing w:before="240" w:after="240" w:line="360" w:lineRule="auto"/>
        <w:ind w:left="720" w:hanging="720"/>
        <w:jc w:val="both"/>
        <w:rPr>
          <w:color w:val="222222"/>
          <w:u w:val="single"/>
        </w:rPr>
      </w:pPr>
      <w:r>
        <w:rPr>
          <w:color w:val="222222"/>
        </w:rPr>
        <w:t xml:space="preserve">Moher, D., Shamseer, L., Clarke, M., Ghersi, D., Liberati, A., Petticrew, M., ... y Stewart, L. A. (2016). Ítems de referencia para publicar protocolos de revisiones sistemáticas y metaanálisis: Declaración PRISMA-P 2015. </w:t>
      </w:r>
      <w:r>
        <w:rPr>
          <w:i/>
          <w:iCs/>
          <w:color w:val="222222"/>
        </w:rPr>
        <w:t>Revista Española de Nutrición Humana y Dietética</w:t>
      </w:r>
      <w:r>
        <w:rPr>
          <w:color w:val="222222"/>
        </w:rPr>
        <w:t xml:space="preserve">, </w:t>
      </w:r>
      <w:r>
        <w:rPr>
          <w:i/>
          <w:iCs/>
          <w:color w:val="222222"/>
        </w:rPr>
        <w:t>20</w:t>
      </w:r>
      <w:r>
        <w:rPr>
          <w:color w:val="222222"/>
        </w:rPr>
        <w:t xml:space="preserve">(2), 148–160. </w:t>
      </w:r>
      <w:hyperlink r:id="rId47">
        <w:r>
          <w:rPr>
            <w:color w:val="222222"/>
            <w:u w:val="single"/>
          </w:rPr>
          <w:t>https://dx.doi.org/10.14306/renhyd.20.2.223</w:t>
        </w:r>
      </w:hyperlink>
    </w:p>
    <w:p w14:paraId="2C856B74" w14:textId="77777777" w:rsidR="00020AE8" w:rsidRDefault="00000000">
      <w:pPr>
        <w:spacing w:before="240" w:after="240" w:line="360" w:lineRule="auto"/>
        <w:ind w:left="720" w:hanging="720"/>
        <w:jc w:val="both"/>
        <w:rPr>
          <w:color w:val="222222"/>
          <w:u w:val="single"/>
        </w:rPr>
      </w:pPr>
      <w:r>
        <w:rPr>
          <w:color w:val="222222"/>
        </w:rPr>
        <w:t xml:space="preserve">Morris, A. S., Silk, J. S., Steinberg, L., Myers, S. S., &amp; Robinson, L. R. (2007). The role of the family context in the development of emotion regulation. </w:t>
      </w:r>
      <w:r>
        <w:rPr>
          <w:i/>
          <w:iCs/>
          <w:color w:val="222222"/>
        </w:rPr>
        <w:t>Social Development</w:t>
      </w:r>
      <w:r>
        <w:rPr>
          <w:color w:val="222222"/>
        </w:rPr>
        <w:t xml:space="preserve">, </w:t>
      </w:r>
      <w:r>
        <w:rPr>
          <w:i/>
          <w:iCs/>
          <w:color w:val="222222"/>
        </w:rPr>
        <w:t>16</w:t>
      </w:r>
      <w:r>
        <w:rPr>
          <w:color w:val="222222"/>
        </w:rPr>
        <w:t xml:space="preserve">(2), 361–388. </w:t>
      </w:r>
      <w:hyperlink r:id="rId48">
        <w:r>
          <w:rPr>
            <w:color w:val="222222"/>
            <w:u w:val="single"/>
          </w:rPr>
          <w:t>https://doi.org/10.1111/j.1467-9507.2007.00389.x</w:t>
        </w:r>
      </w:hyperlink>
    </w:p>
    <w:p w14:paraId="15781D28" w14:textId="77777777" w:rsidR="00020AE8" w:rsidRDefault="00000000">
      <w:pPr>
        <w:spacing w:before="240" w:after="240" w:line="360" w:lineRule="auto"/>
        <w:ind w:left="720" w:hanging="720"/>
        <w:jc w:val="both"/>
        <w:rPr>
          <w:rFonts w:ascii="Roboto" w:eastAsia="Roboto" w:hAnsi="Roboto" w:cs="Roboto"/>
          <w:sz w:val="18"/>
          <w:szCs w:val="18"/>
        </w:rPr>
      </w:pPr>
      <w:r>
        <w:rPr>
          <w:color w:val="222222"/>
        </w:rPr>
        <w:t xml:space="preserve">* Navas-Martínez, M. J., &amp; Cano-Lozano, M. C. (2023). Risk Factors in Specialists and Generalists of Child-to-Parent Violence: Gender Differences and Predictors of Reactive </w:t>
      </w:r>
      <w:r>
        <w:rPr>
          <w:color w:val="222222"/>
        </w:rPr>
        <w:lastRenderedPageBreak/>
        <w:t xml:space="preserve">and </w:t>
      </w:r>
      <w:r>
        <w:rPr>
          <w:i/>
          <w:iCs/>
          <w:color w:val="222222"/>
        </w:rPr>
        <w:t>Proactive Reasons. Behavioral Sciences</w:t>
      </w:r>
      <w:r>
        <w:rPr>
          <w:color w:val="222222"/>
        </w:rPr>
        <w:t xml:space="preserve">, 13(2), 85. </w:t>
      </w:r>
      <w:hyperlink r:id="rId49">
        <w:r>
          <w:rPr>
            <w:u w:val="single"/>
          </w:rPr>
          <w:t>https://doi.org/10.3390/bs13020085</w:t>
        </w:r>
      </w:hyperlink>
      <w:r>
        <w:t xml:space="preserve"> </w:t>
      </w:r>
    </w:p>
    <w:p w14:paraId="3C033D1B" w14:textId="77777777" w:rsidR="00020AE8" w:rsidRDefault="00000000">
      <w:pPr>
        <w:spacing w:before="240" w:after="240" w:line="360" w:lineRule="auto"/>
        <w:ind w:left="720" w:hanging="720"/>
        <w:jc w:val="both"/>
        <w:rPr>
          <w:color w:val="222222"/>
          <w:u w:val="single"/>
        </w:rPr>
      </w:pPr>
      <w:r>
        <w:rPr>
          <w:color w:val="222222"/>
        </w:rPr>
        <w:t xml:space="preserve">Orue, I., Calvete, E., &amp; Gámez-Guadix, M. (2016). Procesamiento de la información social y conducta agresiva en adolescentes. </w:t>
      </w:r>
      <w:r>
        <w:rPr>
          <w:i/>
          <w:iCs/>
          <w:color w:val="222222"/>
        </w:rPr>
        <w:t>Revista de Psicología Social</w:t>
      </w:r>
      <w:r>
        <w:rPr>
          <w:color w:val="222222"/>
        </w:rPr>
        <w:t xml:space="preserve">, </w:t>
      </w:r>
      <w:r>
        <w:rPr>
          <w:i/>
          <w:iCs/>
          <w:color w:val="222222"/>
        </w:rPr>
        <w:t>31</w:t>
      </w:r>
      <w:r>
        <w:rPr>
          <w:color w:val="222222"/>
        </w:rPr>
        <w:t xml:space="preserve">(1), 1–20. </w:t>
      </w:r>
      <w:hyperlink r:id="rId50">
        <w:r>
          <w:rPr>
            <w:color w:val="222222"/>
            <w:u w:val="single"/>
          </w:rPr>
          <w:t>https://doi.org/10.1080/02134748.2015.1101319</w:t>
        </w:r>
      </w:hyperlink>
    </w:p>
    <w:p w14:paraId="634C09C7" w14:textId="77777777" w:rsidR="00020AE8" w:rsidRDefault="00000000">
      <w:pPr>
        <w:spacing w:before="240" w:after="240" w:line="360" w:lineRule="auto"/>
        <w:ind w:left="720" w:hanging="720"/>
        <w:jc w:val="both"/>
        <w:rPr>
          <w:color w:val="222222"/>
          <w:u w:val="single"/>
        </w:rPr>
      </w:pPr>
      <w:r>
        <w:rPr>
          <w:color w:val="222222"/>
        </w:rPr>
        <w:t xml:space="preserve">Ouzzani, M., Hammady, H., Fedorowicz, Z., &amp; Elmagarmid, A. (2016). Rayyan: A web and mobile app for systematic reviews. </w:t>
      </w:r>
      <w:r>
        <w:rPr>
          <w:i/>
          <w:iCs/>
          <w:color w:val="222222"/>
        </w:rPr>
        <w:t>Systematic Reviews</w:t>
      </w:r>
      <w:r>
        <w:rPr>
          <w:color w:val="222222"/>
        </w:rPr>
        <w:t xml:space="preserve">, </w:t>
      </w:r>
      <w:r>
        <w:rPr>
          <w:i/>
          <w:iCs/>
          <w:color w:val="222222"/>
        </w:rPr>
        <w:t>5</w:t>
      </w:r>
      <w:r>
        <w:rPr>
          <w:color w:val="222222"/>
        </w:rPr>
        <w:t xml:space="preserve">(1), 210. </w:t>
      </w:r>
      <w:hyperlink r:id="rId51">
        <w:r>
          <w:rPr>
            <w:color w:val="222222"/>
            <w:u w:val="single"/>
          </w:rPr>
          <w:t>https://doi.org/10.1186/s13643-016-0384-4</w:t>
        </w:r>
      </w:hyperlink>
    </w:p>
    <w:p w14:paraId="771FF061" w14:textId="77777777" w:rsidR="00020AE8" w:rsidRDefault="00000000">
      <w:pPr>
        <w:spacing w:before="240" w:after="240" w:line="360" w:lineRule="auto"/>
        <w:ind w:left="720" w:hanging="720"/>
        <w:jc w:val="both"/>
        <w:rPr>
          <w:color w:val="222222"/>
          <w:u w:val="single"/>
        </w:rPr>
      </w:pPr>
      <w:r>
        <w:rPr>
          <w:color w:val="222222"/>
        </w:rPr>
        <w:t xml:space="preserve">Page, M. J., McKenzie, J. E., Bossuyt, P. M., Boutron, I., Hoffmann, T. C., Mulrow, C. D., y Alonso-Fernández, S. (2021). Declaración PRISMA 2020: una guía actualizada para la publicación de revisiones sistemáticas. </w:t>
      </w:r>
      <w:r>
        <w:rPr>
          <w:i/>
          <w:iCs/>
          <w:color w:val="222222"/>
        </w:rPr>
        <w:t>Revista Española de Cardiología</w:t>
      </w:r>
      <w:r>
        <w:rPr>
          <w:color w:val="222222"/>
        </w:rPr>
        <w:t xml:space="preserve">, </w:t>
      </w:r>
      <w:r>
        <w:rPr>
          <w:i/>
          <w:iCs/>
          <w:color w:val="222222"/>
        </w:rPr>
        <w:t>74</w:t>
      </w:r>
      <w:r>
        <w:rPr>
          <w:color w:val="222222"/>
        </w:rPr>
        <w:t xml:space="preserve">(9), 790–799. </w:t>
      </w:r>
      <w:hyperlink r:id="rId52">
        <w:r>
          <w:rPr>
            <w:color w:val="222222"/>
            <w:u w:val="single"/>
          </w:rPr>
          <w:t>https://doi.org/10.1016/j.recesp.2021.06.016</w:t>
        </w:r>
      </w:hyperlink>
    </w:p>
    <w:p w14:paraId="1F55B852" w14:textId="77777777" w:rsidR="00020AE8" w:rsidRDefault="00000000">
      <w:pPr>
        <w:spacing w:before="240" w:after="240" w:line="360" w:lineRule="auto"/>
        <w:ind w:left="720" w:hanging="720"/>
        <w:jc w:val="both"/>
        <w:rPr>
          <w:highlight w:val="yellow"/>
        </w:rPr>
      </w:pPr>
      <w:r>
        <w:rPr>
          <w:color w:val="222222"/>
        </w:rPr>
        <w:t xml:space="preserve">Palma-Durán, J.-A., &amp; Ruiz-Callado, R. (2023). Discursos sobre violencia filio-parental en la red social Twitter. URVIO. </w:t>
      </w:r>
      <w:r>
        <w:rPr>
          <w:i/>
          <w:iCs/>
          <w:color w:val="222222"/>
        </w:rPr>
        <w:t>Revista Latinoamericana de Estudios de Seguridad (35)</w:t>
      </w:r>
      <w:r>
        <w:rPr>
          <w:color w:val="222222"/>
        </w:rPr>
        <w:t xml:space="preserve">, 42-59. </w:t>
      </w:r>
      <w:hyperlink r:id="rId53">
        <w:r>
          <w:rPr>
            <w:u w:val="single"/>
          </w:rPr>
          <w:t>https://doi.org/10.17141/urvio.35.2023.5636</w:t>
        </w:r>
      </w:hyperlink>
      <w:r>
        <w:t xml:space="preserve"> </w:t>
      </w:r>
    </w:p>
    <w:p w14:paraId="368CD7AA" w14:textId="77777777" w:rsidR="00020AE8" w:rsidRDefault="00000000">
      <w:pPr>
        <w:spacing w:before="240" w:after="240" w:line="360" w:lineRule="auto"/>
        <w:ind w:left="720" w:hanging="720"/>
        <w:jc w:val="both"/>
        <w:rPr>
          <w:color w:val="222222"/>
        </w:rPr>
      </w:pPr>
      <w:r>
        <w:rPr>
          <w:color w:val="222222"/>
        </w:rPr>
        <w:t xml:space="preserve">* Papamichail, A., &amp; Bates, E. A. (2022). “I want my mum to know that I am a good guy…”: a thematic analysis of the accounts of adolescents who exhibit child-to-parent violence in the United Kingdom. </w:t>
      </w:r>
      <w:r>
        <w:rPr>
          <w:i/>
          <w:iCs/>
          <w:color w:val="222222"/>
        </w:rPr>
        <w:t>Journal of interpersonal violence</w:t>
      </w:r>
      <w:r>
        <w:rPr>
          <w:color w:val="222222"/>
        </w:rPr>
        <w:t xml:space="preserve">, 37(9-10), NP6135-NP6158. </w:t>
      </w:r>
      <w:hyperlink r:id="rId54">
        <w:r>
          <w:rPr>
            <w:color w:val="222222"/>
          </w:rPr>
          <w:t>https://doi.org/10.1177/0886260520926317</w:t>
        </w:r>
      </w:hyperlink>
    </w:p>
    <w:p w14:paraId="543A5F3C" w14:textId="77777777" w:rsidR="00020AE8" w:rsidRDefault="00000000">
      <w:pPr>
        <w:spacing w:before="240" w:after="240" w:line="360" w:lineRule="auto"/>
        <w:ind w:left="720" w:hanging="720"/>
        <w:jc w:val="both"/>
        <w:rPr>
          <w:color w:val="222222"/>
        </w:rPr>
      </w:pPr>
      <w:r>
        <w:rPr>
          <w:color w:val="222222"/>
        </w:rPr>
        <w:t xml:space="preserve">Pereira, R. (2011). </w:t>
      </w:r>
      <w:r>
        <w:rPr>
          <w:i/>
          <w:iCs/>
          <w:color w:val="222222"/>
        </w:rPr>
        <w:t>Violencia filio-parental: un fenómeno emergente</w:t>
      </w:r>
      <w:r>
        <w:rPr>
          <w:color w:val="222222"/>
        </w:rPr>
        <w:t>. Morata.</w:t>
      </w:r>
    </w:p>
    <w:p w14:paraId="5E646FC4" w14:textId="77777777" w:rsidR="00020AE8" w:rsidRDefault="00000000">
      <w:pPr>
        <w:spacing w:before="240" w:after="240" w:line="360" w:lineRule="auto"/>
        <w:ind w:left="720" w:hanging="720"/>
        <w:jc w:val="both"/>
        <w:rPr>
          <w:color w:val="222222"/>
        </w:rPr>
      </w:pPr>
      <w:r>
        <w:rPr>
          <w:color w:val="222222"/>
        </w:rPr>
        <w:t xml:space="preserve">Pereira, R. (2017). Violencia filio-parental: factores que favorecen su aparición. </w:t>
      </w:r>
      <w:r>
        <w:rPr>
          <w:i/>
          <w:iCs/>
          <w:color w:val="222222"/>
        </w:rPr>
        <w:t>Construção Psicopedagógica</w:t>
      </w:r>
      <w:r>
        <w:rPr>
          <w:color w:val="222222"/>
        </w:rPr>
        <w:t xml:space="preserve">, </w:t>
      </w:r>
      <w:r>
        <w:rPr>
          <w:i/>
          <w:iCs/>
          <w:color w:val="222222"/>
        </w:rPr>
        <w:t>25</w:t>
      </w:r>
      <w:r>
        <w:rPr>
          <w:color w:val="222222"/>
        </w:rPr>
        <w:t>(26), 5–16.</w:t>
      </w:r>
    </w:p>
    <w:p w14:paraId="4E208C6B" w14:textId="77777777" w:rsidR="00020AE8" w:rsidRDefault="00000000">
      <w:pPr>
        <w:spacing w:before="240" w:after="240" w:line="360" w:lineRule="auto"/>
        <w:ind w:left="720" w:hanging="720"/>
        <w:jc w:val="both"/>
        <w:rPr>
          <w:color w:val="222222"/>
        </w:rPr>
      </w:pPr>
      <w:r>
        <w:rPr>
          <w:color w:val="222222"/>
        </w:rPr>
        <w:t xml:space="preserve">Sánchez, J. (2008). </w:t>
      </w:r>
      <w:r>
        <w:rPr>
          <w:i/>
          <w:iCs/>
          <w:color w:val="222222"/>
        </w:rPr>
        <w:t>Análisis y puesta en práctica en un centro de menores de un programa de intervención con familias y menores que maltratan a sus padres</w:t>
      </w:r>
      <w:r>
        <w:rPr>
          <w:color w:val="222222"/>
        </w:rPr>
        <w:t xml:space="preserve"> [Tesis doctoral, Universidad de Valencia].</w:t>
      </w:r>
    </w:p>
    <w:p w14:paraId="51B7B305" w14:textId="77777777" w:rsidR="00020AE8" w:rsidRDefault="00000000">
      <w:pPr>
        <w:spacing w:before="240" w:after="240" w:line="360" w:lineRule="auto"/>
        <w:ind w:left="720" w:hanging="720"/>
        <w:jc w:val="both"/>
      </w:pPr>
      <w:r>
        <w:rPr>
          <w:color w:val="222222"/>
        </w:rPr>
        <w:t xml:space="preserve">Sasaki, Y., Usami, M., Sasaki, S., Sunakawa, H., Toguchi, Y., Tanese, S., Saito, K., Shinohara, R., Kurokouchi, T., Sugimoto, K., Hakoshima, Y., Inazaki, K., Yoshimura, Y., Mizumoto, Y. y Okada, T. (2021). Case–control study on clinical characteristics of child </w:t>
      </w:r>
      <w:r>
        <w:rPr>
          <w:color w:val="222222"/>
        </w:rPr>
        <w:lastRenderedPageBreak/>
        <w:t xml:space="preserve">and adolescent psychiatric outpatients with child-to-parent violence. </w:t>
      </w:r>
      <w:r>
        <w:rPr>
          <w:i/>
          <w:iCs/>
          <w:color w:val="222222"/>
        </w:rPr>
        <w:t>BMJ Open</w:t>
      </w:r>
      <w:r>
        <w:rPr>
          <w:color w:val="222222"/>
        </w:rPr>
        <w:t>, 11(12), e048222.</w:t>
      </w:r>
      <w:r>
        <w:t xml:space="preserve"> </w:t>
      </w:r>
      <w:hyperlink r:id="rId55">
        <w:r>
          <w:rPr>
            <w:u w:val="single"/>
          </w:rPr>
          <w:t>https://doi.org/10.1136/bmjopen-2020-048222</w:t>
        </w:r>
      </w:hyperlink>
      <w:r>
        <w:t xml:space="preserve"> </w:t>
      </w:r>
    </w:p>
    <w:p w14:paraId="0F5BB1F8" w14:textId="77777777" w:rsidR="00020AE8" w:rsidRDefault="00000000">
      <w:pPr>
        <w:spacing w:before="240" w:after="240" w:line="360" w:lineRule="auto"/>
        <w:ind w:left="720" w:hanging="720"/>
        <w:jc w:val="both"/>
      </w:pPr>
      <w:r>
        <w:t xml:space="preserve">Sasaki, Y., Usami, M., Hakosima, Y., Inazaki, K., Mizumoto, Y., Ito, M., Mikami, K., Tsujii, N., Okada, T. y Takahashi, H. (2025). Clinical characteristics of missed child-to-parent violence (CPV) in child and adolescent psychiatric patients: A case–control study. Child Psychiatry &amp; Human Development. Publicación anticipada en línea. </w:t>
      </w:r>
      <w:hyperlink r:id="rId56">
        <w:r>
          <w:rPr>
            <w:u w:val="single"/>
          </w:rPr>
          <w:t>https://doi.org/10.1007/s10578-025-01888-2</w:t>
        </w:r>
      </w:hyperlink>
      <w:r>
        <w:t xml:space="preserve"> </w:t>
      </w:r>
    </w:p>
    <w:p w14:paraId="4BC720D4" w14:textId="77777777" w:rsidR="00020AE8" w:rsidRDefault="00000000">
      <w:pPr>
        <w:spacing w:before="240" w:after="240" w:line="360" w:lineRule="auto"/>
        <w:ind w:left="720" w:hanging="720"/>
        <w:jc w:val="both"/>
        <w:rPr>
          <w:color w:val="222222"/>
        </w:rPr>
      </w:pPr>
      <w:r>
        <w:rPr>
          <w:color w:val="222222"/>
        </w:rPr>
        <w:t xml:space="preserve">Selma, A. A. (2020). La violencia filio-parental y la vulnerabilidad de las madres de familias monoparentales en tiempos de pandemia. </w:t>
      </w:r>
      <w:r>
        <w:rPr>
          <w:i/>
          <w:iCs/>
          <w:color w:val="222222"/>
        </w:rPr>
        <w:t>Revista Sistema Penal Crítico</w:t>
      </w:r>
      <w:r>
        <w:rPr>
          <w:color w:val="222222"/>
        </w:rPr>
        <w:t xml:space="preserve">, </w:t>
      </w:r>
      <w:r>
        <w:rPr>
          <w:i/>
          <w:iCs/>
          <w:color w:val="222222"/>
        </w:rPr>
        <w:t>1</w:t>
      </w:r>
      <w:r>
        <w:rPr>
          <w:color w:val="222222"/>
        </w:rPr>
        <w:t>, 179–196.</w:t>
      </w:r>
    </w:p>
    <w:p w14:paraId="31434586" w14:textId="77777777" w:rsidR="00020AE8" w:rsidRDefault="00000000">
      <w:pPr>
        <w:spacing w:before="240" w:after="240" w:line="360" w:lineRule="auto"/>
        <w:ind w:left="720" w:hanging="720"/>
        <w:jc w:val="both"/>
        <w:rPr>
          <w:color w:val="222222"/>
          <w:u w:val="single"/>
        </w:rPr>
      </w:pPr>
      <w:r>
        <w:rPr>
          <w:color w:val="222222"/>
        </w:rPr>
        <w:t xml:space="preserve">Simmons, M., McEwan, T. E., Purcell, R., &amp; Ogloff, J. R. (2018). Sixty years of child-to-parent abuse research: What we know and where to go. </w:t>
      </w:r>
      <w:r>
        <w:rPr>
          <w:i/>
          <w:iCs/>
          <w:color w:val="222222"/>
        </w:rPr>
        <w:t>Aggression and Violent Behavior</w:t>
      </w:r>
      <w:r>
        <w:rPr>
          <w:color w:val="222222"/>
        </w:rPr>
        <w:t xml:space="preserve">, </w:t>
      </w:r>
      <w:r>
        <w:rPr>
          <w:i/>
          <w:iCs/>
          <w:color w:val="222222"/>
        </w:rPr>
        <w:t>38</w:t>
      </w:r>
      <w:r>
        <w:rPr>
          <w:color w:val="222222"/>
        </w:rPr>
        <w:t xml:space="preserve">, 31–52. </w:t>
      </w:r>
      <w:hyperlink r:id="rId57">
        <w:r>
          <w:rPr>
            <w:color w:val="222222"/>
            <w:u w:val="single"/>
          </w:rPr>
          <w:t>https://doi.org/10.1016/j.avb.2017.11.001</w:t>
        </w:r>
      </w:hyperlink>
    </w:p>
    <w:p w14:paraId="7CCEFDB8" w14:textId="77777777" w:rsidR="00020AE8" w:rsidRDefault="00000000">
      <w:pPr>
        <w:spacing w:before="240" w:after="240" w:line="360" w:lineRule="auto"/>
        <w:ind w:left="720" w:hanging="720"/>
        <w:jc w:val="both"/>
        <w:rPr>
          <w:color w:val="222222"/>
          <w:u w:val="single"/>
        </w:rPr>
      </w:pPr>
      <w:r>
        <w:rPr>
          <w:color w:val="222222"/>
        </w:rPr>
        <w:t xml:space="preserve">Toro, R., García-García, J., y Zaldívar-Basurto, F. (2020). Hacia un modelo transdiagnóstico integrador de la psicopatología externalizante. </w:t>
      </w:r>
      <w:r>
        <w:rPr>
          <w:i/>
          <w:iCs/>
          <w:color w:val="222222"/>
        </w:rPr>
        <w:t>Acción Psicológica</w:t>
      </w:r>
      <w:r>
        <w:rPr>
          <w:color w:val="222222"/>
        </w:rPr>
        <w:t xml:space="preserve">, </w:t>
      </w:r>
      <w:r>
        <w:rPr>
          <w:i/>
          <w:iCs/>
          <w:color w:val="222222"/>
        </w:rPr>
        <w:t>17</w:t>
      </w:r>
      <w:r>
        <w:rPr>
          <w:color w:val="222222"/>
        </w:rPr>
        <w:t xml:space="preserve">(1), 73–90. </w:t>
      </w:r>
      <w:hyperlink r:id="rId58">
        <w:r>
          <w:rPr>
            <w:color w:val="222222"/>
            <w:u w:val="single"/>
          </w:rPr>
          <w:t>https://dx.doi.org/10.5944/ap.17.1.25831</w:t>
        </w:r>
      </w:hyperlink>
    </w:p>
    <w:p w14:paraId="2BE86618" w14:textId="77777777" w:rsidR="00020AE8" w:rsidRDefault="00020AE8">
      <w:pPr>
        <w:spacing w:line="360" w:lineRule="auto"/>
        <w:ind w:firstLine="720"/>
        <w:jc w:val="center"/>
        <w:rPr>
          <w:b/>
          <w:bCs/>
          <w:color w:val="222222"/>
        </w:rPr>
      </w:pPr>
    </w:p>
    <w:sectPr w:rsidR="00020AE8">
      <w:pgSz w:w="11900" w:h="16840"/>
      <w:pgMar w:top="1417" w:right="1701" w:bottom="1417" w:left="113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72B1DE8-415E-4141-8E5E-6D43A7FBD374}"/>
    <w:embedBold r:id="rId2" w:fontKey="{D9F43ADE-9731-F14B-A8E5-3764A07CE493}"/>
    <w:embedItalic r:id="rId3" w:fontKey="{2CFAA4CE-5192-5F46-8A6F-85643C4740CE}"/>
    <w:embedBoldItalic r:id="rId4" w:fontKey="{A0717D85-EC4D-7A48-8FE5-3621A671BCFF}"/>
  </w:font>
  <w:font w:name="Calibri">
    <w:panose1 w:val="020F0502020204030204"/>
    <w:charset w:val="00"/>
    <w:family w:val="swiss"/>
    <w:pitch w:val="variable"/>
    <w:sig w:usb0="E4002EFF" w:usb1="C200247B" w:usb2="00000009" w:usb3="00000000" w:csb0="000001FF" w:csb1="00000000"/>
    <w:embedRegular r:id="rId5" w:fontKey="{210D53B1-7BAD-9540-AED7-CB712DACF4E0}"/>
  </w:font>
  <w:font w:name="Georgia">
    <w:panose1 w:val="02040502050405020303"/>
    <w:charset w:val="00"/>
    <w:family w:val="roman"/>
    <w:pitch w:val="variable"/>
    <w:sig w:usb0="00000287" w:usb1="00000000" w:usb2="00000000" w:usb3="00000000" w:csb0="0000009F" w:csb1="00000000"/>
    <w:embedItalic r:id="rId6" w:fontKey="{E2A885A8-B4BE-DD4D-8B78-DFF761C6D14F}"/>
  </w:font>
  <w:font w:name="Century Schoolbook">
    <w:panose1 w:val="02040604050505020304"/>
    <w:charset w:val="00"/>
    <w:family w:val="roman"/>
    <w:pitch w:val="variable"/>
    <w:sig w:usb0="00000287" w:usb1="00000000" w:usb2="00000000" w:usb3="00000000" w:csb0="0000009F" w:csb1="00000000"/>
    <w:embedRegular r:id="rId7" w:fontKey="{0D9EA3F6-7145-774D-82E9-E5F8BCBFAD8E}"/>
  </w:font>
  <w:font w:name="Cardo">
    <w:charset w:val="00"/>
    <w:family w:val="auto"/>
    <w:pitch w:val="default"/>
    <w:embedRegular r:id="rId8" w:fontKey="{9D28EDE2-1161-374C-BA8F-F4F4ED6A7317}"/>
  </w:font>
  <w:font w:name="Gungsuh">
    <w:panose1 w:val="02030600000101010101"/>
    <w:charset w:val="81"/>
    <w:family w:val="roman"/>
    <w:pitch w:val="variable"/>
    <w:sig w:usb0="B00002AF" w:usb1="69D77CFB" w:usb2="00000030" w:usb3="00000000" w:csb0="0008009F" w:csb1="00000000"/>
    <w:embedRegular r:id="rId9" w:subsetted="1" w:fontKey="{BACAEBDA-CF64-1E4F-A0E3-1C671FDB0D1C}"/>
  </w:font>
  <w:font w:name="Arial">
    <w:panose1 w:val="020B0604020202020204"/>
    <w:charset w:val="00"/>
    <w:family w:val="swiss"/>
    <w:pitch w:val="variable"/>
    <w:sig w:usb0="E0002EFF" w:usb1="C000785B" w:usb2="00000009" w:usb3="00000000" w:csb0="000001FF" w:csb1="00000000"/>
    <w:embedRegular r:id="rId10" w:fontKey="{8A6C50ED-73BA-964C-BA3B-CC1D9C9BE8F3}"/>
  </w:font>
  <w:font w:name="Roboto">
    <w:panose1 w:val="020B0604020202020204"/>
    <w:charset w:val="00"/>
    <w:family w:val="auto"/>
    <w:pitch w:val="variable"/>
    <w:sig w:usb0="E0000AFF" w:usb1="5000217F" w:usb2="00000021" w:usb3="00000000" w:csb0="0000019F" w:csb1="00000000"/>
    <w:embedRegular r:id="rId11" w:fontKey="{AF859862-E61F-A043-9DEA-0A8133F36DA3}"/>
  </w:font>
  <w:font w:name="Cambria">
    <w:panose1 w:val="02040503050406030204"/>
    <w:charset w:val="00"/>
    <w:family w:val="roman"/>
    <w:pitch w:val="variable"/>
    <w:sig w:usb0="E00002FF" w:usb1="400004FF" w:usb2="00000000" w:usb3="00000000" w:csb0="0000019F" w:csb1="00000000"/>
    <w:embedRegular r:id="rId12" w:fontKey="{AEC09EEE-F01D-B340-B2FA-90C019D0DF14}"/>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2"/>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AE8"/>
    <w:rsid w:val="00020AE8"/>
    <w:rsid w:val="00670BAB"/>
    <w:rsid w:val="006D332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0E997DFA"/>
  <w15:docId w15:val="{93E56E57-FD2A-AC4D-B274-F4A4D328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PY"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outlineLvl w:val="1"/>
    </w:pPr>
    <w:rPr>
      <w:b/>
      <w:bCs/>
      <w:sz w:val="36"/>
      <w:szCs w:val="36"/>
    </w:rPr>
  </w:style>
  <w:style w:type="paragraph" w:styleId="Ttulo3">
    <w:name w:val="heading 3"/>
    <w:basedOn w:val="Normal"/>
    <w:next w:val="Normal"/>
    <w:uiPriority w:val="9"/>
    <w:semiHidden/>
    <w:unhideWhenUsed/>
    <w:qFormat/>
    <w:pPr>
      <w:keepNext/>
      <w:keepLines/>
      <w:spacing w:before="40"/>
      <w:outlineLvl w:val="2"/>
    </w:pPr>
    <w:rPr>
      <w:rFonts w:ascii="Calibri" w:eastAsia="Calibri" w:hAnsi="Calibri" w:cs="Calibri"/>
      <w:color w:val="1F3863"/>
    </w:rPr>
  </w:style>
  <w:style w:type="paragraph" w:styleId="Ttulo4">
    <w:name w:val="heading 4"/>
    <w:basedOn w:val="Normal"/>
    <w:next w:val="Normal"/>
    <w:uiPriority w:val="9"/>
    <w:semiHidden/>
    <w:unhideWhenUsed/>
    <w:qFormat/>
    <w:pPr>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7/s10896-025-00870-9" TargetMode="External"/><Relationship Id="rId18" Type="http://schemas.openxmlformats.org/officeDocument/2006/relationships/hyperlink" Target="https://doi.org/10.1007/s10802-020-00754-0" TargetMode="External"/><Relationship Id="rId26" Type="http://schemas.openxmlformats.org/officeDocument/2006/relationships/hyperlink" Target="https://doi.org/10.6018/analesps.411301" TargetMode="External"/><Relationship Id="rId39" Type="http://schemas.openxmlformats.org/officeDocument/2006/relationships/hyperlink" Target="https://doi.org/10.6018/analesps.428531" TargetMode="External"/><Relationship Id="rId21" Type="http://schemas.openxmlformats.org/officeDocument/2006/relationships/hyperlink" Target="http://riull.ull.es/xmlui/handle/915/36500" TargetMode="External"/><Relationship Id="rId34" Type="http://schemas.openxmlformats.org/officeDocument/2006/relationships/hyperlink" Target="https://doi.org/10.3390/publications14010004" TargetMode="External"/><Relationship Id="rId42" Type="http://schemas.openxmlformats.org/officeDocument/2006/relationships/hyperlink" Target="https://doi.org/10.29076/issn.2602-8379vol6iss11.2022pp13-31p" TargetMode="External"/><Relationship Id="rId47" Type="http://schemas.openxmlformats.org/officeDocument/2006/relationships/hyperlink" Target="https://dx.doi.org/10.14306/renhyd.20.2.223" TargetMode="External"/><Relationship Id="rId50" Type="http://schemas.openxmlformats.org/officeDocument/2006/relationships/hyperlink" Target="https://doi.org/10.1080/02134748.2015.1101319" TargetMode="External"/><Relationship Id="rId55" Type="http://schemas.openxmlformats.org/officeDocument/2006/relationships/hyperlink" Target="https://doi.org/10.1136/bmjopen-2020-048222" TargetMode="External"/><Relationship Id="rId7" Type="http://schemas.openxmlformats.org/officeDocument/2006/relationships/hyperlink" Target="https://orcid.org/0009-0008-9115-1272" TargetMode="External"/><Relationship Id="rId2" Type="http://schemas.openxmlformats.org/officeDocument/2006/relationships/styles" Target="styles.xml"/><Relationship Id="rId16" Type="http://schemas.openxmlformats.org/officeDocument/2006/relationships/hyperlink" Target="https://doi.org/10.1007/s00787-025-02953-w" TargetMode="External"/><Relationship Id="rId29" Type="http://schemas.openxmlformats.org/officeDocument/2006/relationships/hyperlink" Target="https://doi.org/10.11144/Javerianacali.PPSI13-2.tivf" TargetMode="External"/><Relationship Id="rId11" Type="http://schemas.openxmlformats.org/officeDocument/2006/relationships/hyperlink" Target="https://doi.org/10.6018/analesps.338881" TargetMode="External"/><Relationship Id="rId24" Type="http://schemas.openxmlformats.org/officeDocument/2006/relationships/hyperlink" Target="https://doi.org/10.1016/j.ejpal.2016.03.003" TargetMode="External"/><Relationship Id="rId32" Type="http://schemas.openxmlformats.org/officeDocument/2006/relationships/hyperlink" Target="https://doi.org/10.1080/1047840X.2014.940781" TargetMode="External"/><Relationship Id="rId37" Type="http://schemas.openxmlformats.org/officeDocument/2006/relationships/hyperlink" Target="https://doi.org/10.1007/s10896-010-9312-x" TargetMode="External"/><Relationship Id="rId40" Type="http://schemas.openxmlformats.org/officeDocument/2006/relationships/hyperlink" Target="https://doi.org/10.5093/ejpalc2020a5" TargetMode="External"/><Relationship Id="rId45" Type="http://schemas.openxmlformats.org/officeDocument/2006/relationships/hyperlink" Target="https://doi.org/10.13140/RG.2.2.12277.70884" TargetMode="External"/><Relationship Id="rId53" Type="http://schemas.openxmlformats.org/officeDocument/2006/relationships/hyperlink" Target="https://doi.org/10.17141/urvio.35.2023.5636" TargetMode="External"/><Relationship Id="rId58" Type="http://schemas.openxmlformats.org/officeDocument/2006/relationships/hyperlink" Target="https://dx.doi.org/10.5944/ap.17.1.25831" TargetMode="External"/><Relationship Id="rId5" Type="http://schemas.openxmlformats.org/officeDocument/2006/relationships/hyperlink" Target="https://orcid.org/0000-0003-0488-4651" TargetMode="External"/><Relationship Id="rId19" Type="http://schemas.openxmlformats.org/officeDocument/2006/relationships/hyperlink" Target="https://doi.org/10.1177/0886260514548565" TargetMode="External"/><Relationship Id="rId4" Type="http://schemas.openxmlformats.org/officeDocument/2006/relationships/webSettings" Target="webSettings.xml"/><Relationship Id="rId9" Type="http://schemas.openxmlformats.org/officeDocument/2006/relationships/hyperlink" Target="https://doi.org/10.1016/j.cpr.2009.11.004" TargetMode="External"/><Relationship Id="rId14" Type="http://schemas.openxmlformats.org/officeDocument/2006/relationships/hyperlink" Target="https://doi.org/10.1017/S0954579419000696" TargetMode="External"/><Relationship Id="rId22" Type="http://schemas.openxmlformats.org/officeDocument/2006/relationships/hyperlink" Target="https://doi.org/10.7150/ijms.116091" TargetMode="External"/><Relationship Id="rId27" Type="http://schemas.openxmlformats.org/officeDocument/2006/relationships/hyperlink" Target="https://doi.org/10.1177/0192513X03261330" TargetMode="External"/><Relationship Id="rId30" Type="http://schemas.openxmlformats.org/officeDocument/2006/relationships/hyperlink" Target="https://doi.org/10.1016/j.rlp.2014.08.002" TargetMode="External"/><Relationship Id="rId35" Type="http://schemas.openxmlformats.org/officeDocument/2006/relationships/hyperlink" Target="https://doi.org/10.1007/s10802-012-9629-4" TargetMode="External"/><Relationship Id="rId43" Type="http://schemas.openxmlformats.org/officeDocument/2006/relationships/hyperlink" Target="https://doi.org/10.29076/issn.2602-8379vol6iss11.2022pp32-43p" TargetMode="External"/><Relationship Id="rId48" Type="http://schemas.openxmlformats.org/officeDocument/2006/relationships/hyperlink" Target="https://doi.org/10.1111/j.1467-9507.2007.00389.x" TargetMode="External"/><Relationship Id="rId56" Type="http://schemas.openxmlformats.org/officeDocument/2006/relationships/hyperlink" Target="https://doi.org/10.1007/s10578-025-01888-2" TargetMode="External"/><Relationship Id="rId8" Type="http://schemas.openxmlformats.org/officeDocument/2006/relationships/image" Target="media/image1.png"/><Relationship Id="rId51" Type="http://schemas.openxmlformats.org/officeDocument/2006/relationships/hyperlink" Target="https://doi.org/10.1186/s13643-016-0384-4" TargetMode="External"/><Relationship Id="rId3" Type="http://schemas.openxmlformats.org/officeDocument/2006/relationships/settings" Target="settings.xml"/><Relationship Id="rId12" Type="http://schemas.openxmlformats.org/officeDocument/2006/relationships/hyperlink" Target="https://dx.doi.org/10.6018/analesps.30.1.149521" TargetMode="External"/><Relationship Id="rId17" Type="http://schemas.openxmlformats.org/officeDocument/2006/relationships/hyperlink" Target="https://doi.org/10.1191/1478088706qp063oa" TargetMode="External"/><Relationship Id="rId25" Type="http://schemas.openxmlformats.org/officeDocument/2006/relationships/hyperlink" Target="https://doi.org/10.35622/j.rep.2023.02.001" TargetMode="External"/><Relationship Id="rId33" Type="http://schemas.openxmlformats.org/officeDocument/2006/relationships/hyperlink" Target="https://doi.org/10.1177/2167702614536164" TargetMode="External"/><Relationship Id="rId38" Type="http://schemas.openxmlformats.org/officeDocument/2006/relationships/hyperlink" Target="https://doi.org/10.1016/S1054-139X(98)00134-7" TargetMode="External"/><Relationship Id="rId46" Type="http://schemas.openxmlformats.org/officeDocument/2006/relationships/hyperlink" Target="https://doi.org/10.29076/issn.2602-8379vol6iss11.2022pp70-86p" TargetMode="External"/><Relationship Id="rId59" Type="http://schemas.openxmlformats.org/officeDocument/2006/relationships/fontTable" Target="fontTable.xml"/><Relationship Id="rId20" Type="http://schemas.openxmlformats.org/officeDocument/2006/relationships/hyperlink" Target="https://doi.org/10.5093/ejpalc2023a2" TargetMode="External"/><Relationship Id="rId41" Type="http://schemas.openxmlformats.org/officeDocument/2006/relationships/hyperlink" Target="https://doi.org/10.1177/2632084320947559" TargetMode="External"/><Relationship Id="rId54" Type="http://schemas.openxmlformats.org/officeDocument/2006/relationships/hyperlink" Target="https://doi.org/10.1177/0886260520926317" TargetMode="External"/><Relationship Id="rId1" Type="http://schemas.openxmlformats.org/officeDocument/2006/relationships/customXml" Target="../customXml/item1.xml"/><Relationship Id="rId6" Type="http://schemas.openxmlformats.org/officeDocument/2006/relationships/hyperlink" Target="https://orcid.org/0009-0008-9115-1272" TargetMode="External"/><Relationship Id="rId15" Type="http://schemas.openxmlformats.org/officeDocument/2006/relationships/hyperlink" Target="https://doi.org/10.1017/S0954579412000508" TargetMode="External"/><Relationship Id="rId23" Type="http://schemas.openxmlformats.org/officeDocument/2006/relationships/hyperlink" Target="https://psycnet.apa.org/doi/10.1037/bul0000110" TargetMode="External"/><Relationship Id="rId28" Type="http://schemas.openxmlformats.org/officeDocument/2006/relationships/hyperlink" Target="https://doi.org/10.5093/ejpalc2020a2" TargetMode="External"/><Relationship Id="rId36" Type="http://schemas.openxmlformats.org/officeDocument/2006/relationships/hyperlink" Target="https://doi.org/10.5093/ejpalc2023a5" TargetMode="External"/><Relationship Id="rId49" Type="http://schemas.openxmlformats.org/officeDocument/2006/relationships/hyperlink" Target="https://doi.org/10.3390/bs13020085" TargetMode="External"/><Relationship Id="rId57" Type="http://schemas.openxmlformats.org/officeDocument/2006/relationships/hyperlink" Target="https://doi.org/10.1016/j.avb.2017.11.001" TargetMode="External"/><Relationship Id="rId10" Type="http://schemas.openxmlformats.org/officeDocument/2006/relationships/hyperlink" Target="https://doi.org/10.1176/appi.books.9780890425787" TargetMode="External"/><Relationship Id="rId31" Type="http://schemas.openxmlformats.org/officeDocument/2006/relationships/hyperlink" Target="https://doi.org/10.1146/annurev.clinpsy.121208.131208" TargetMode="External"/><Relationship Id="rId44" Type="http://schemas.openxmlformats.org/officeDocument/2006/relationships/hyperlink" Target="https://www.doi.org/10.5093/pi2018a24" TargetMode="External"/><Relationship Id="rId52" Type="http://schemas.openxmlformats.org/officeDocument/2006/relationships/hyperlink" Target="https://doi.org/10.1016/j.recesp.2021.06.016"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kwogdlRaX7H8JZoYrO2zQBn4g==">CgMxLjAaEgoBMBINCgsIB0IHEgVDYXJkbxoUCgExEg8KDQgHQgkSB0d1bmdzdWgaFAoBMhIPCg0IB0IJEgdHdW5nc3VoGhQKATMSDwoNCAdCCRIHR3VuZ3N1aBoUCgE0Eg8KDQgHQgkSB0d1bmdzdWgyDmguM3pjYzdzeGF3cDUxOAByITFkYXBUZTM3UmJBODJJOXhnbGJpdjV3YXhOZXM3UlpLcg==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16726</Words>
  <Characters>91995</Characters>
  <Application>Microsoft Office Word</Application>
  <DocSecurity>0</DocSecurity>
  <Lines>766</Lines>
  <Paragraphs>217</Paragraphs>
  <ScaleCrop>false</ScaleCrop>
  <Company/>
  <LinksUpToDate>false</LinksUpToDate>
  <CharactersWithSpaces>108504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Analia Veronica Losada</cp:lastModifiedBy>
  <cp:revision>2</cp:revision>
  <dcterms:created xsi:type="dcterms:W3CDTF">2026-06-25T23:02:00Z</dcterms:created>
  <dcterms:modified xsi:type="dcterms:W3CDTF">2026-06-25T23:05:00Z</dcterms:modified>
</cp:coreProperties>
</file>